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1.xml" ContentType="application/vnd.openxmlformats-officedocument.drawingml.chartshapes+xml"/>
  <Override PartName="/word/charts/chart11.xml" ContentType="application/vnd.openxmlformats-officedocument.drawingml.chart+xml"/>
  <Override PartName="/word/drawings/drawing2.xml" ContentType="application/vnd.openxmlformats-officedocument.drawingml.chartshapes+xml"/>
  <Override PartName="/word/charts/chart12.xml" ContentType="application/vnd.openxmlformats-officedocument.drawingml.chart+xml"/>
  <Override PartName="/word/drawings/drawing3.xml" ContentType="application/vnd.openxmlformats-officedocument.drawingml.chartshapes+xml"/>
  <Override PartName="/word/charts/chart13.xml" ContentType="application/vnd.openxmlformats-officedocument.drawingml.chart+xml"/>
  <Override PartName="/word/drawings/drawing4.xml" ContentType="application/vnd.openxmlformats-officedocument.drawingml.chartshapes+xml"/>
  <Override PartName="/word/charts/chart14.xml" ContentType="application/vnd.openxmlformats-officedocument.drawingml.chart+xml"/>
  <Override PartName="/word/drawings/drawing5.xml" ContentType="application/vnd.openxmlformats-officedocument.drawingml.chartshapes+xml"/>
  <Override PartName="/word/charts/chart15.xml" ContentType="application/vnd.openxmlformats-officedocument.drawingml.chart+xml"/>
  <Override PartName="/word/drawings/drawing6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9E" w:rsidRPr="00BE507D" w:rsidRDefault="008B30A2" w:rsidP="004D2F9E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E507D">
        <w:rPr>
          <w:rFonts w:ascii="微軟正黑體" w:eastAsia="微軟正黑體" w:hAnsi="微軟正黑體" w:hint="eastAsia"/>
          <w:b/>
          <w:sz w:val="40"/>
          <w:szCs w:val="40"/>
        </w:rPr>
        <w:t>桃園市</w:t>
      </w:r>
      <w:r w:rsidR="00924611" w:rsidRPr="00BE507D">
        <w:rPr>
          <w:rFonts w:ascii="微軟正黑體" w:eastAsia="微軟正黑體" w:hAnsi="微軟正黑體" w:hint="eastAsia"/>
          <w:b/>
          <w:sz w:val="40"/>
          <w:szCs w:val="40"/>
        </w:rPr>
        <w:t>最新</w:t>
      </w:r>
      <w:r w:rsidRPr="00BE507D">
        <w:rPr>
          <w:rFonts w:ascii="微軟正黑體" w:eastAsia="微軟正黑體" w:hAnsi="微軟正黑體" w:hint="eastAsia"/>
          <w:b/>
          <w:sz w:val="40"/>
          <w:szCs w:val="40"/>
        </w:rPr>
        <w:t>不動產市場交易分析月報</w:t>
      </w:r>
    </w:p>
    <w:p w:rsidR="007367A8" w:rsidRPr="00BE507D" w:rsidRDefault="007367A8" w:rsidP="00214631">
      <w:pPr>
        <w:pStyle w:val="a3"/>
        <w:numPr>
          <w:ilvl w:val="0"/>
          <w:numId w:val="1"/>
        </w:numPr>
        <w:spacing w:beforeLines="50" w:before="180" w:line="440" w:lineRule="exact"/>
        <w:ind w:leftChars="0" w:left="482" w:rightChars="96" w:right="230" w:hanging="482"/>
        <w:rPr>
          <w:rFonts w:ascii="微軟正黑體" w:eastAsia="微軟正黑體" w:hAnsi="微軟正黑體"/>
          <w:b/>
          <w:sz w:val="32"/>
          <w:szCs w:val="32"/>
        </w:rPr>
      </w:pPr>
      <w:r w:rsidRPr="00BE507D">
        <w:rPr>
          <w:rFonts w:ascii="微軟正黑體" w:eastAsia="微軟正黑體" w:hAnsi="微軟正黑體" w:hint="eastAsia"/>
          <w:b/>
          <w:sz w:val="32"/>
          <w:szCs w:val="32"/>
        </w:rPr>
        <w:t>買賣移轉登記案件資料分析</w:t>
      </w:r>
    </w:p>
    <w:p w:rsidR="00BE507D" w:rsidRPr="00BB1BC9" w:rsidRDefault="009A242C" w:rsidP="00AE62CF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BB1BC9">
        <w:rPr>
          <w:rFonts w:ascii="標楷體" w:eastAsia="標楷體" w:hAnsi="標楷體" w:hint="eastAsia"/>
          <w:sz w:val="28"/>
          <w:szCs w:val="28"/>
        </w:rPr>
        <w:t>依本市</w:t>
      </w:r>
      <w:r w:rsidRPr="00BB1BC9">
        <w:rPr>
          <w:rFonts w:ascii="標楷體" w:eastAsia="標楷體" w:hAnsi="標楷體" w:hint="eastAsia"/>
          <w:b/>
          <w:sz w:val="28"/>
          <w:szCs w:val="28"/>
        </w:rPr>
        <w:t>買賣登記案件數</w:t>
      </w:r>
      <w:r w:rsidRPr="00BB1BC9">
        <w:rPr>
          <w:rFonts w:ascii="標楷體" w:eastAsia="標楷體" w:hAnsi="標楷體" w:hint="eastAsia"/>
          <w:sz w:val="28"/>
          <w:szCs w:val="28"/>
        </w:rPr>
        <w:t>統計資料顯示</w:t>
      </w:r>
      <w:r w:rsidR="007367A8" w:rsidRPr="00BB1BC9">
        <w:rPr>
          <w:rFonts w:ascii="標楷體" w:eastAsia="標楷體" w:hAnsi="標楷體" w:hint="eastAsia"/>
          <w:sz w:val="28"/>
          <w:szCs w:val="28"/>
        </w:rPr>
        <w:t>，</w:t>
      </w:r>
      <w:r w:rsidR="00011EF4" w:rsidRPr="00BB1BC9">
        <w:rPr>
          <w:rFonts w:ascii="標楷體" w:eastAsia="標楷體" w:hAnsi="標楷體" w:hint="eastAsia"/>
          <w:sz w:val="28"/>
          <w:szCs w:val="28"/>
        </w:rPr>
        <w:t>106</w:t>
      </w:r>
      <w:r w:rsidR="007367A8" w:rsidRPr="00BB1BC9">
        <w:rPr>
          <w:rFonts w:ascii="標楷體" w:eastAsia="標楷體" w:hAnsi="標楷體" w:hint="eastAsia"/>
          <w:sz w:val="28"/>
          <w:szCs w:val="28"/>
        </w:rPr>
        <w:t>年</w:t>
      </w:r>
      <w:r w:rsidR="00BB1BC9" w:rsidRPr="00BB1BC9">
        <w:rPr>
          <w:rFonts w:ascii="標楷體" w:eastAsia="標楷體" w:hAnsi="標楷體" w:hint="eastAsia"/>
          <w:sz w:val="28"/>
          <w:szCs w:val="28"/>
        </w:rPr>
        <w:t>3</w:t>
      </w:r>
      <w:r w:rsidR="007367A8" w:rsidRPr="00BB1BC9">
        <w:rPr>
          <w:rFonts w:ascii="標楷體" w:eastAsia="標楷體" w:hAnsi="標楷體" w:hint="eastAsia"/>
          <w:sz w:val="28"/>
          <w:szCs w:val="28"/>
        </w:rPr>
        <w:t>月買賣移轉登記案件量共計</w:t>
      </w:r>
      <w:r w:rsidR="00BB1BC9" w:rsidRPr="00BB1BC9">
        <w:rPr>
          <w:rFonts w:ascii="標楷體" w:eastAsia="標楷體" w:hAnsi="標楷體" w:hint="eastAsia"/>
          <w:sz w:val="28"/>
          <w:szCs w:val="28"/>
        </w:rPr>
        <w:t>3</w:t>
      </w:r>
      <w:r w:rsidR="00011EF4" w:rsidRPr="00BB1BC9">
        <w:rPr>
          <w:rFonts w:ascii="標楷體" w:eastAsia="標楷體" w:hAnsi="標楷體" w:hint="eastAsia"/>
          <w:sz w:val="28"/>
          <w:szCs w:val="28"/>
        </w:rPr>
        <w:t>,</w:t>
      </w:r>
      <w:r w:rsidR="00BB1BC9" w:rsidRPr="00BB1BC9">
        <w:rPr>
          <w:rFonts w:ascii="標楷體" w:eastAsia="標楷體" w:hAnsi="標楷體" w:hint="eastAsia"/>
          <w:sz w:val="28"/>
          <w:szCs w:val="28"/>
        </w:rPr>
        <w:t>371件，較2</w:t>
      </w:r>
      <w:r w:rsidR="007367A8" w:rsidRPr="00BB1BC9">
        <w:rPr>
          <w:rFonts w:ascii="標楷體" w:eastAsia="標楷體" w:hAnsi="標楷體" w:hint="eastAsia"/>
          <w:sz w:val="28"/>
          <w:szCs w:val="28"/>
        </w:rPr>
        <w:t>月</w:t>
      </w:r>
      <w:r w:rsidR="00BB1BC9" w:rsidRPr="00BB1BC9">
        <w:rPr>
          <w:rFonts w:ascii="標楷體" w:eastAsia="標楷體" w:hAnsi="標楷體" w:hint="eastAsia"/>
          <w:sz w:val="28"/>
          <w:szCs w:val="28"/>
        </w:rPr>
        <w:t>傳統淡季(2,296</w:t>
      </w:r>
      <w:r w:rsidR="007367A8" w:rsidRPr="00BB1BC9">
        <w:rPr>
          <w:rFonts w:ascii="標楷體" w:eastAsia="標楷體" w:hAnsi="標楷體" w:hint="eastAsia"/>
          <w:sz w:val="28"/>
          <w:szCs w:val="28"/>
        </w:rPr>
        <w:t>件)</w:t>
      </w:r>
      <w:r w:rsidR="00BB1BC9" w:rsidRPr="00BB1BC9">
        <w:rPr>
          <w:rFonts w:ascii="標楷體" w:eastAsia="標楷體" w:hAnsi="標楷體" w:hint="eastAsia"/>
          <w:sz w:val="28"/>
          <w:szCs w:val="28"/>
        </w:rPr>
        <w:t>增加1075</w:t>
      </w:r>
      <w:r w:rsidR="007367A8" w:rsidRPr="00BB1BC9">
        <w:rPr>
          <w:rFonts w:ascii="標楷體" w:eastAsia="標楷體" w:hAnsi="標楷體" w:hint="eastAsia"/>
          <w:sz w:val="28"/>
          <w:szCs w:val="28"/>
        </w:rPr>
        <w:t>件，</w:t>
      </w:r>
      <w:r w:rsidR="00BB1BC9" w:rsidRPr="00BB1BC9">
        <w:rPr>
          <w:rFonts w:ascii="標楷體" w:eastAsia="標楷體" w:hAnsi="標楷體" w:hint="eastAsia"/>
          <w:sz w:val="28"/>
          <w:szCs w:val="28"/>
        </w:rPr>
        <w:t>增加</w:t>
      </w:r>
      <w:r w:rsidR="00AE62CF" w:rsidRPr="00BB1BC9">
        <w:rPr>
          <w:rFonts w:ascii="標楷體" w:eastAsia="標楷體" w:hAnsi="標楷體" w:hint="eastAsia"/>
          <w:sz w:val="28"/>
          <w:szCs w:val="28"/>
        </w:rPr>
        <w:t>幅度約</w:t>
      </w:r>
      <w:r w:rsidR="00BB1BC9" w:rsidRPr="00BB1BC9">
        <w:rPr>
          <w:rFonts w:ascii="標楷體" w:eastAsia="標楷體" w:hAnsi="標楷體" w:hint="eastAsia"/>
          <w:sz w:val="28"/>
          <w:szCs w:val="28"/>
        </w:rPr>
        <w:t>46.82</w:t>
      </w:r>
      <w:r w:rsidR="00AE62CF" w:rsidRPr="00BB1BC9">
        <w:rPr>
          <w:rFonts w:ascii="標楷體" w:eastAsia="標楷體" w:hAnsi="標楷體" w:hint="eastAsia"/>
          <w:sz w:val="28"/>
          <w:szCs w:val="28"/>
        </w:rPr>
        <w:t>%，</w:t>
      </w:r>
      <w:r w:rsidR="00136053" w:rsidRPr="00BB1BC9">
        <w:rPr>
          <w:rFonts w:ascii="標楷體" w:eastAsia="標楷體" w:hAnsi="標楷體" w:hint="eastAsia"/>
          <w:sz w:val="28"/>
          <w:szCs w:val="28"/>
        </w:rPr>
        <w:t>但</w:t>
      </w:r>
      <w:r w:rsidR="009013EB" w:rsidRPr="00BB1BC9">
        <w:rPr>
          <w:rFonts w:ascii="標楷體" w:eastAsia="標楷體" w:hAnsi="標楷體" w:hint="eastAsia"/>
          <w:sz w:val="28"/>
          <w:szCs w:val="28"/>
        </w:rPr>
        <w:t>與</w:t>
      </w:r>
      <w:r w:rsidR="007367A8" w:rsidRPr="00BB1BC9">
        <w:rPr>
          <w:rFonts w:ascii="標楷體" w:eastAsia="標楷體" w:hAnsi="標楷體" w:hint="eastAsia"/>
          <w:sz w:val="28"/>
          <w:szCs w:val="28"/>
        </w:rPr>
        <w:t>10</w:t>
      </w:r>
      <w:r w:rsidR="00011EF4" w:rsidRPr="00BB1BC9">
        <w:rPr>
          <w:rFonts w:ascii="標楷體" w:eastAsia="標楷體" w:hAnsi="標楷體" w:hint="eastAsia"/>
          <w:sz w:val="28"/>
          <w:szCs w:val="28"/>
        </w:rPr>
        <w:t>5</w:t>
      </w:r>
      <w:r w:rsidR="007367A8" w:rsidRPr="00BB1BC9">
        <w:rPr>
          <w:rFonts w:ascii="標楷體" w:eastAsia="標楷體" w:hAnsi="標楷體" w:hint="eastAsia"/>
          <w:sz w:val="28"/>
          <w:szCs w:val="28"/>
        </w:rPr>
        <w:t>年</w:t>
      </w:r>
      <w:r w:rsidR="00BB1BC9" w:rsidRPr="00BB1BC9">
        <w:rPr>
          <w:rFonts w:ascii="標楷體" w:eastAsia="標楷體" w:hAnsi="標楷體" w:hint="eastAsia"/>
          <w:sz w:val="28"/>
          <w:szCs w:val="28"/>
        </w:rPr>
        <w:t>3</w:t>
      </w:r>
      <w:r w:rsidR="007367A8" w:rsidRPr="00BB1BC9">
        <w:rPr>
          <w:rFonts w:ascii="標楷體" w:eastAsia="標楷體" w:hAnsi="標楷體" w:hint="eastAsia"/>
          <w:sz w:val="28"/>
          <w:szCs w:val="28"/>
        </w:rPr>
        <w:t>月</w:t>
      </w:r>
      <w:r w:rsidR="00BB1BC9" w:rsidRPr="00BB1BC9">
        <w:rPr>
          <w:rFonts w:ascii="標楷體" w:eastAsia="標楷體" w:hAnsi="標楷體" w:hint="eastAsia"/>
          <w:sz w:val="28"/>
          <w:szCs w:val="28"/>
        </w:rPr>
        <w:t>(3,426</w:t>
      </w:r>
      <w:r w:rsidR="007367A8" w:rsidRPr="00BB1BC9">
        <w:rPr>
          <w:rFonts w:ascii="標楷體" w:eastAsia="標楷體" w:hAnsi="標楷體" w:hint="eastAsia"/>
          <w:sz w:val="28"/>
          <w:szCs w:val="28"/>
        </w:rPr>
        <w:t>件)</w:t>
      </w:r>
      <w:r w:rsidR="009013EB" w:rsidRPr="00BB1BC9">
        <w:rPr>
          <w:rFonts w:ascii="標楷體" w:eastAsia="標楷體" w:hAnsi="標楷體" w:hint="eastAsia"/>
          <w:sz w:val="28"/>
          <w:szCs w:val="28"/>
        </w:rPr>
        <w:t>相較</w:t>
      </w:r>
      <w:r w:rsidR="00BB1BC9" w:rsidRPr="00BB1BC9">
        <w:rPr>
          <w:rFonts w:ascii="標楷體" w:eastAsia="標楷體" w:hAnsi="標楷體" w:hint="eastAsia"/>
          <w:sz w:val="28"/>
          <w:szCs w:val="28"/>
        </w:rPr>
        <w:t>減少55</w:t>
      </w:r>
      <w:r w:rsidR="007367A8" w:rsidRPr="00BB1BC9">
        <w:rPr>
          <w:rFonts w:ascii="標楷體" w:eastAsia="標楷體" w:hAnsi="標楷體" w:hint="eastAsia"/>
          <w:sz w:val="28"/>
          <w:szCs w:val="28"/>
        </w:rPr>
        <w:t>件</w:t>
      </w:r>
      <w:r w:rsidR="00267665" w:rsidRPr="00BB1BC9">
        <w:rPr>
          <w:rFonts w:ascii="標楷體" w:eastAsia="標楷體" w:hAnsi="標楷體" w:hint="eastAsia"/>
          <w:sz w:val="28"/>
          <w:szCs w:val="28"/>
        </w:rPr>
        <w:t>，</w:t>
      </w:r>
      <w:r w:rsidR="00BB1BC9" w:rsidRPr="00BB1BC9">
        <w:rPr>
          <w:rFonts w:ascii="標楷體" w:eastAsia="標楷體" w:hAnsi="標楷體" w:hint="eastAsia"/>
          <w:sz w:val="28"/>
          <w:szCs w:val="28"/>
        </w:rPr>
        <w:t>減</w:t>
      </w:r>
      <w:r w:rsidR="009013EB" w:rsidRPr="00BB1BC9">
        <w:rPr>
          <w:rFonts w:ascii="標楷體" w:eastAsia="標楷體" w:hAnsi="標楷體" w:hint="eastAsia"/>
          <w:sz w:val="28"/>
          <w:szCs w:val="28"/>
        </w:rPr>
        <w:t>幅約</w:t>
      </w:r>
      <w:r w:rsidR="00BB1BC9" w:rsidRPr="00BB1BC9">
        <w:rPr>
          <w:rFonts w:ascii="標楷體" w:eastAsia="標楷體" w:hAnsi="標楷體" w:hint="eastAsia"/>
          <w:sz w:val="28"/>
          <w:szCs w:val="28"/>
        </w:rPr>
        <w:t>-1.61</w:t>
      </w:r>
      <w:r w:rsidR="009013EB" w:rsidRPr="00BB1BC9">
        <w:rPr>
          <w:rFonts w:ascii="標楷體" w:eastAsia="標楷體" w:hAnsi="標楷體" w:hint="eastAsia"/>
          <w:sz w:val="28"/>
          <w:szCs w:val="28"/>
        </w:rPr>
        <w:t>%</w:t>
      </w:r>
      <w:r w:rsidR="00BB1BC9" w:rsidRPr="00BB1BC9">
        <w:rPr>
          <w:rFonts w:ascii="標楷體" w:eastAsia="標楷體" w:hAnsi="標楷體" w:hint="eastAsia"/>
          <w:sz w:val="28"/>
          <w:szCs w:val="28"/>
        </w:rPr>
        <w:t>，差異不大</w:t>
      </w:r>
      <w:r w:rsidR="009013EB" w:rsidRPr="00BB1BC9">
        <w:rPr>
          <w:rFonts w:ascii="標楷體" w:eastAsia="標楷體" w:hAnsi="標楷體" w:hint="eastAsia"/>
          <w:sz w:val="28"/>
          <w:szCs w:val="28"/>
        </w:rPr>
        <w:t>。</w:t>
      </w:r>
    </w:p>
    <w:p w:rsidR="007367A8" w:rsidRPr="007367A8" w:rsidRDefault="00BE507D" w:rsidP="007367A8">
      <w:pPr>
        <w:spacing w:line="400" w:lineRule="exact"/>
        <w:ind w:rightChars="37" w:right="89" w:firstLineChars="150" w:firstLine="30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54610</wp:posOffset>
            </wp:positionH>
            <wp:positionV relativeFrom="margin">
              <wp:posOffset>1957933</wp:posOffset>
            </wp:positionV>
            <wp:extent cx="5258739" cy="2907637"/>
            <wp:effectExtent l="0" t="0" r="18415" b="26670"/>
            <wp:wrapNone/>
            <wp:docPr id="1" name="圖表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7367A8" w:rsidRDefault="00214631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2138045</wp:posOffset>
                </wp:positionH>
                <wp:positionV relativeFrom="paragraph">
                  <wp:posOffset>2766060</wp:posOffset>
                </wp:positionV>
                <wp:extent cx="3324225" cy="320040"/>
                <wp:effectExtent l="0" t="0" r="0" b="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344" w:rsidRPr="00DB62B1" w:rsidRDefault="00E02A61" w:rsidP="0051734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</w:t>
                            </w:r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、近一年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買賣移轉登記移轉案件趨勢圖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8.35pt;margin-top:217.8pt;width:261.75pt;height:25.2pt;z-index:25170022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" filled="f" stroked="f">
                <v:textbox style="mso-fit-shape-to-text:t">
                  <w:txbxContent>
                    <w:p w:rsidR="00517344" w:rsidRPr="00DB62B1" w:rsidRDefault="00E02A61" w:rsidP="00517344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</w:t>
                      </w:r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、近一年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買賣移轉登記移轉案件趨勢圖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367A8" w:rsidRDefault="007367A8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Pr="006A52DE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517344" w:rsidRDefault="00517344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F81DA1" w:rsidRDefault="00F81DA1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Pr="00F71755" w:rsidRDefault="00BE507D" w:rsidP="00BE507D">
      <w:pPr>
        <w:spacing w:line="400" w:lineRule="exact"/>
        <w:ind w:rightChars="37" w:right="89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F71755">
        <w:rPr>
          <w:rFonts w:ascii="標楷體" w:eastAsia="標楷體" w:hAnsi="標楷體" w:hint="eastAsia"/>
          <w:sz w:val="28"/>
          <w:szCs w:val="28"/>
        </w:rPr>
        <w:t>就土地、建物買賣登記移轉筆、棟數而言，106年</w:t>
      </w:r>
      <w:r w:rsidR="004642A4" w:rsidRPr="00F71755">
        <w:rPr>
          <w:rFonts w:ascii="標楷體" w:eastAsia="標楷體" w:hAnsi="標楷體" w:hint="eastAsia"/>
          <w:sz w:val="28"/>
          <w:szCs w:val="28"/>
        </w:rPr>
        <w:t>3</w:t>
      </w:r>
      <w:r w:rsidRPr="00F71755">
        <w:rPr>
          <w:rFonts w:ascii="標楷體" w:eastAsia="標楷體" w:hAnsi="標楷體" w:hint="eastAsia"/>
          <w:sz w:val="28"/>
          <w:szCs w:val="28"/>
        </w:rPr>
        <w:t>月土地移轉筆數為</w:t>
      </w:r>
      <w:r w:rsidR="004642A4" w:rsidRPr="00F71755">
        <w:rPr>
          <w:rFonts w:ascii="標楷體" w:eastAsia="標楷體" w:hAnsi="標楷體" w:hint="eastAsia"/>
          <w:sz w:val="28"/>
          <w:szCs w:val="28"/>
        </w:rPr>
        <w:t>4,650</w:t>
      </w:r>
      <w:r w:rsidRPr="00F71755">
        <w:rPr>
          <w:rFonts w:ascii="標楷體" w:eastAsia="標楷體" w:hAnsi="標楷體" w:hint="eastAsia"/>
          <w:sz w:val="28"/>
          <w:szCs w:val="28"/>
        </w:rPr>
        <w:t>筆、建物棟數為</w:t>
      </w:r>
      <w:r w:rsidR="004642A4" w:rsidRPr="00F71755">
        <w:rPr>
          <w:rFonts w:ascii="標楷體" w:eastAsia="標楷體" w:hAnsi="標楷體" w:hint="eastAsia"/>
          <w:sz w:val="28"/>
          <w:szCs w:val="28"/>
        </w:rPr>
        <w:t>3,116</w:t>
      </w:r>
      <w:r w:rsidRPr="00F71755">
        <w:rPr>
          <w:rFonts w:ascii="標楷體" w:eastAsia="標楷體" w:hAnsi="標楷體" w:hint="eastAsia"/>
          <w:sz w:val="28"/>
          <w:szCs w:val="28"/>
        </w:rPr>
        <w:t>棟，共計</w:t>
      </w:r>
      <w:r w:rsidR="004A2A60">
        <w:rPr>
          <w:rFonts w:ascii="標楷體" w:eastAsia="標楷體" w:hAnsi="標楷體" w:hint="eastAsia"/>
          <w:sz w:val="28"/>
          <w:szCs w:val="28"/>
        </w:rPr>
        <w:t>7,76</w:t>
      </w:r>
      <w:r w:rsidR="003B5F4C" w:rsidRPr="00F71755">
        <w:rPr>
          <w:rFonts w:ascii="標楷體" w:eastAsia="標楷體" w:hAnsi="標楷體" w:hint="eastAsia"/>
          <w:sz w:val="28"/>
          <w:szCs w:val="28"/>
        </w:rPr>
        <w:t>6筆，</w:t>
      </w:r>
      <w:r w:rsidR="00F71755">
        <w:rPr>
          <w:rFonts w:ascii="標楷體" w:eastAsia="標楷體" w:hAnsi="標楷體" w:hint="eastAsia"/>
          <w:sz w:val="28"/>
          <w:szCs w:val="28"/>
        </w:rPr>
        <w:t>較2</w:t>
      </w:r>
      <w:r w:rsidRPr="00F71755">
        <w:rPr>
          <w:rFonts w:ascii="標楷體" w:eastAsia="標楷體" w:hAnsi="標楷體" w:hint="eastAsia"/>
          <w:sz w:val="28"/>
          <w:szCs w:val="28"/>
        </w:rPr>
        <w:t>月</w:t>
      </w:r>
      <w:r w:rsidR="003B5F4C" w:rsidRPr="00F71755">
        <w:rPr>
          <w:rFonts w:ascii="標楷體" w:eastAsia="標楷體" w:hAnsi="標楷體" w:hint="eastAsia"/>
          <w:sz w:val="28"/>
          <w:szCs w:val="28"/>
        </w:rPr>
        <w:t>(</w:t>
      </w:r>
      <w:r w:rsidR="00F71755" w:rsidRPr="00F71755">
        <w:rPr>
          <w:rFonts w:ascii="標楷體" w:eastAsia="標楷體" w:hAnsi="標楷體" w:hint="eastAsia"/>
          <w:sz w:val="28"/>
          <w:szCs w:val="28"/>
        </w:rPr>
        <w:t>4</w:t>
      </w:r>
      <w:r w:rsidR="003B5F4C" w:rsidRPr="00F71755">
        <w:rPr>
          <w:rFonts w:ascii="標楷體" w:eastAsia="標楷體" w:hAnsi="標楷體" w:hint="eastAsia"/>
          <w:sz w:val="28"/>
          <w:szCs w:val="28"/>
        </w:rPr>
        <w:t>,96</w:t>
      </w:r>
      <w:r w:rsidR="00F71755" w:rsidRPr="00F71755">
        <w:rPr>
          <w:rFonts w:ascii="標楷體" w:eastAsia="標楷體" w:hAnsi="標楷體" w:hint="eastAsia"/>
          <w:sz w:val="28"/>
          <w:szCs w:val="28"/>
        </w:rPr>
        <w:t>3</w:t>
      </w:r>
      <w:r w:rsidRPr="00F71755">
        <w:rPr>
          <w:rFonts w:ascii="標楷體" w:eastAsia="標楷體" w:hAnsi="標楷體" w:hint="eastAsia"/>
          <w:sz w:val="28"/>
          <w:szCs w:val="28"/>
        </w:rPr>
        <w:t>筆)</w:t>
      </w:r>
      <w:r w:rsidR="003B5F4C" w:rsidRPr="00F71755">
        <w:rPr>
          <w:rFonts w:ascii="標楷體" w:eastAsia="標楷體" w:hAnsi="標楷體" w:hint="eastAsia"/>
          <w:sz w:val="28"/>
          <w:szCs w:val="28"/>
        </w:rPr>
        <w:t>增加</w:t>
      </w:r>
      <w:r w:rsidR="00E23085">
        <w:rPr>
          <w:rFonts w:ascii="標楷體" w:eastAsia="標楷體" w:hAnsi="標楷體" w:hint="eastAsia"/>
          <w:sz w:val="28"/>
          <w:szCs w:val="28"/>
        </w:rPr>
        <w:t>56.</w:t>
      </w:r>
      <w:r w:rsidR="004A2A60">
        <w:rPr>
          <w:rFonts w:ascii="標楷體" w:eastAsia="標楷體" w:hAnsi="標楷體" w:hint="eastAsia"/>
          <w:sz w:val="28"/>
          <w:szCs w:val="28"/>
        </w:rPr>
        <w:t>4</w:t>
      </w:r>
      <w:r w:rsidR="00F71755" w:rsidRPr="00F71755">
        <w:rPr>
          <w:rFonts w:ascii="標楷體" w:eastAsia="標楷體" w:hAnsi="標楷體" w:hint="eastAsia"/>
          <w:sz w:val="28"/>
          <w:szCs w:val="28"/>
        </w:rPr>
        <w:t>8</w:t>
      </w:r>
      <w:r w:rsidRPr="00F71755">
        <w:rPr>
          <w:rFonts w:ascii="標楷體" w:eastAsia="標楷體" w:hAnsi="標楷體" w:hint="eastAsia"/>
          <w:sz w:val="28"/>
          <w:szCs w:val="28"/>
        </w:rPr>
        <w:t>%，但與105年</w:t>
      </w:r>
      <w:r w:rsidR="00F71755" w:rsidRPr="00F71755">
        <w:rPr>
          <w:rFonts w:ascii="標楷體" w:eastAsia="標楷體" w:hAnsi="標楷體" w:hint="eastAsia"/>
          <w:sz w:val="28"/>
          <w:szCs w:val="28"/>
        </w:rPr>
        <w:t>3</w:t>
      </w:r>
      <w:r w:rsidRPr="00F71755">
        <w:rPr>
          <w:rFonts w:ascii="標楷體" w:eastAsia="標楷體" w:hAnsi="標楷體" w:hint="eastAsia"/>
          <w:sz w:val="28"/>
          <w:szCs w:val="28"/>
        </w:rPr>
        <w:t>月</w:t>
      </w:r>
      <w:r w:rsidR="00795C00" w:rsidRPr="00F71755">
        <w:rPr>
          <w:rFonts w:ascii="標楷體" w:eastAsia="標楷體" w:hAnsi="標楷體" w:hint="eastAsia"/>
          <w:sz w:val="28"/>
          <w:szCs w:val="28"/>
        </w:rPr>
        <w:t>(</w:t>
      </w:r>
      <w:r w:rsidR="00F71755" w:rsidRPr="00F71755">
        <w:rPr>
          <w:rFonts w:ascii="標楷體" w:eastAsia="標楷體" w:hAnsi="標楷體" w:hint="eastAsia"/>
          <w:sz w:val="28"/>
          <w:szCs w:val="28"/>
        </w:rPr>
        <w:t>7</w:t>
      </w:r>
      <w:r w:rsidR="00795C00" w:rsidRPr="00F71755">
        <w:rPr>
          <w:rFonts w:ascii="標楷體" w:eastAsia="標楷體" w:hAnsi="標楷體" w:hint="eastAsia"/>
          <w:sz w:val="28"/>
          <w:szCs w:val="28"/>
        </w:rPr>
        <w:t>,</w:t>
      </w:r>
      <w:r w:rsidR="00F71755" w:rsidRPr="00F71755">
        <w:rPr>
          <w:rFonts w:ascii="標楷體" w:eastAsia="標楷體" w:hAnsi="標楷體" w:hint="eastAsia"/>
          <w:sz w:val="28"/>
          <w:szCs w:val="28"/>
        </w:rPr>
        <w:t>213</w:t>
      </w:r>
      <w:r w:rsidRPr="00F71755">
        <w:rPr>
          <w:rFonts w:ascii="標楷體" w:eastAsia="標楷體" w:hAnsi="標楷體" w:hint="eastAsia"/>
          <w:sz w:val="28"/>
          <w:szCs w:val="28"/>
        </w:rPr>
        <w:t>筆)</w:t>
      </w:r>
      <w:proofErr w:type="gramStart"/>
      <w:r w:rsidRPr="00F71755">
        <w:rPr>
          <w:rFonts w:ascii="標楷體" w:eastAsia="標楷體" w:hAnsi="標楷體" w:hint="eastAsia"/>
          <w:sz w:val="28"/>
          <w:szCs w:val="28"/>
        </w:rPr>
        <w:t>相較</w:t>
      </w:r>
      <w:r w:rsidR="002A65A4">
        <w:rPr>
          <w:rFonts w:ascii="標楷體" w:eastAsia="標楷體" w:hAnsi="標楷體" w:hint="eastAsia"/>
          <w:sz w:val="28"/>
          <w:szCs w:val="28"/>
        </w:rPr>
        <w:t>微幅</w:t>
      </w:r>
      <w:proofErr w:type="gramEnd"/>
      <w:r w:rsidRPr="00F71755">
        <w:rPr>
          <w:rFonts w:ascii="標楷體" w:eastAsia="標楷體" w:hAnsi="標楷體" w:hint="eastAsia"/>
          <w:sz w:val="28"/>
          <w:szCs w:val="28"/>
        </w:rPr>
        <w:t>增加</w:t>
      </w:r>
      <w:r w:rsidR="00D0667A">
        <w:rPr>
          <w:rFonts w:ascii="標楷體" w:eastAsia="標楷體" w:hAnsi="標楷體" w:hint="eastAsia"/>
          <w:sz w:val="28"/>
          <w:szCs w:val="28"/>
        </w:rPr>
        <w:t>7.</w:t>
      </w:r>
      <w:r w:rsidR="004A2A60">
        <w:rPr>
          <w:rFonts w:ascii="標楷體" w:eastAsia="標楷體" w:hAnsi="標楷體" w:hint="eastAsia"/>
          <w:sz w:val="28"/>
          <w:szCs w:val="28"/>
        </w:rPr>
        <w:t>67</w:t>
      </w:r>
      <w:r w:rsidRPr="00F71755">
        <w:rPr>
          <w:rFonts w:ascii="標楷體" w:eastAsia="標楷體" w:hAnsi="標楷體" w:hint="eastAsia"/>
          <w:sz w:val="28"/>
          <w:szCs w:val="28"/>
        </w:rPr>
        <w:t>%</w:t>
      </w:r>
      <w:r w:rsidRPr="00F7175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E507D" w:rsidRP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-29210</wp:posOffset>
            </wp:positionH>
            <wp:positionV relativeFrom="margin">
              <wp:posOffset>6574308</wp:posOffset>
            </wp:positionV>
            <wp:extent cx="5443220" cy="2448063"/>
            <wp:effectExtent l="0" t="0" r="24130" b="9525"/>
            <wp:wrapNone/>
            <wp:docPr id="2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7006F4">
      <w:pPr>
        <w:spacing w:line="400" w:lineRule="exact"/>
        <w:ind w:rightChars="37" w:right="89" w:firstLineChars="150" w:firstLine="360"/>
        <w:jc w:val="right"/>
        <w:rPr>
          <w:rFonts w:ascii="微軟正黑體" w:eastAsia="微軟正黑體" w:hAnsi="微軟正黑體"/>
          <w:szCs w:val="24"/>
        </w:rPr>
      </w:pPr>
    </w:p>
    <w:p w:rsidR="007006F4" w:rsidRDefault="007006F4" w:rsidP="007006F4">
      <w:pPr>
        <w:spacing w:line="400" w:lineRule="exact"/>
        <w:ind w:rightChars="37" w:right="89" w:firstLineChars="150" w:firstLine="360"/>
        <w:jc w:val="right"/>
        <w:rPr>
          <w:rFonts w:ascii="微軟正黑體" w:eastAsia="微軟正黑體" w:hAnsi="微軟正黑體"/>
          <w:szCs w:val="24"/>
        </w:rPr>
      </w:pPr>
    </w:p>
    <w:p w:rsidR="007006F4" w:rsidRDefault="007006F4" w:rsidP="007006F4">
      <w:pPr>
        <w:spacing w:line="400" w:lineRule="exact"/>
        <w:ind w:rightChars="37" w:right="89" w:firstLineChars="150" w:firstLine="360"/>
        <w:jc w:val="right"/>
        <w:rPr>
          <w:rFonts w:ascii="微軟正黑體" w:eastAsia="微軟正黑體" w:hAnsi="微軟正黑體"/>
          <w:szCs w:val="24"/>
        </w:rPr>
      </w:pP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5325D9">
      <w:pPr>
        <w:spacing w:line="400" w:lineRule="exact"/>
        <w:ind w:rightChars="37" w:right="89" w:firstLineChars="150" w:firstLine="360"/>
        <w:rPr>
          <w:rFonts w:ascii="微軟正黑體" w:eastAsia="微軟正黑體" w:hAnsi="微軟正黑體"/>
          <w:szCs w:val="24"/>
        </w:rPr>
      </w:pPr>
    </w:p>
    <w:p w:rsidR="00BE507D" w:rsidRDefault="00BE507D" w:rsidP="00BE507D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BE507D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214631" w:rsidP="00BE507D">
      <w:pPr>
        <w:spacing w:line="400" w:lineRule="exact"/>
        <w:ind w:rightChars="37" w:right="89" w:firstLineChars="150" w:firstLine="30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2250440</wp:posOffset>
                </wp:positionH>
                <wp:positionV relativeFrom="paragraph">
                  <wp:posOffset>57150</wp:posOffset>
                </wp:positionV>
                <wp:extent cx="3324225" cy="320040"/>
                <wp:effectExtent l="0" t="0" r="0" b="0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DB62B1" w:rsidRDefault="00E02A61" w:rsidP="00BE507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</w:t>
                            </w:r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、近一年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買賣移轉登記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移轉筆棟數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趨勢圖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7.2pt;margin-top:4.5pt;width:261.75pt;height:25.2pt;z-index:2517114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" filled="f" stroked="f">
                <v:textbox style="mso-fit-shape-to-text:t">
                  <w:txbxContent>
                    <w:p w:rsidR="00E02A61" w:rsidRPr="00DB62B1" w:rsidRDefault="00E02A61" w:rsidP="00BE507D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</w:t>
                      </w:r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、近一年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買賣移轉登記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移轉筆棟數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趨勢圖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507D" w:rsidRDefault="00214631" w:rsidP="00BE507D">
      <w:pPr>
        <w:spacing w:line="400" w:lineRule="exact"/>
        <w:ind w:rightChars="37" w:right="89" w:firstLineChars="150" w:firstLine="30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2138045</wp:posOffset>
                </wp:positionH>
                <wp:positionV relativeFrom="paragraph">
                  <wp:posOffset>2700020</wp:posOffset>
                </wp:positionV>
                <wp:extent cx="3324225" cy="320040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DB62B1" w:rsidRDefault="00E02A61" w:rsidP="007D7A7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</w:t>
                            </w:r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、近一年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買賣移轉登記移轉案件趨勢圖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8.35pt;margin-top:212.6pt;width:261.75pt;height:25.2pt;z-index:25165619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" filled="f" stroked="f">
                <v:textbox style="mso-fit-shape-to-text:t">
                  <w:txbxContent>
                    <w:p w:rsidR="00E02A61" w:rsidRPr="00DB62B1" w:rsidRDefault="00E02A61" w:rsidP="007D7A7E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</w:t>
                      </w:r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、近一年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買賣移轉登記移轉案件趨勢圖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Pr="00BE507D" w:rsidRDefault="004D2F9E" w:rsidP="00BE507D">
      <w:pPr>
        <w:numPr>
          <w:ilvl w:val="0"/>
          <w:numId w:val="1"/>
        </w:numPr>
        <w:ind w:left="482" w:rightChars="96" w:right="230" w:hanging="482"/>
        <w:rPr>
          <w:rFonts w:ascii="標楷體" w:eastAsia="標楷體" w:hAnsi="標楷體"/>
          <w:b/>
          <w:sz w:val="32"/>
          <w:szCs w:val="32"/>
        </w:rPr>
      </w:pPr>
      <w:r w:rsidRPr="00BE507D">
        <w:rPr>
          <w:rFonts w:ascii="標楷體" w:eastAsia="標楷體" w:hAnsi="標楷體" w:hint="eastAsia"/>
          <w:b/>
          <w:sz w:val="32"/>
          <w:szCs w:val="32"/>
        </w:rPr>
        <w:lastRenderedPageBreak/>
        <w:t>實價登錄揭露交易量</w:t>
      </w:r>
      <w:r w:rsidR="00CE5040" w:rsidRPr="00BE507D">
        <w:rPr>
          <w:rFonts w:ascii="標楷體" w:eastAsia="標楷體" w:hAnsi="標楷體" w:hint="eastAsia"/>
          <w:b/>
          <w:sz w:val="32"/>
          <w:szCs w:val="32"/>
        </w:rPr>
        <w:t>/</w:t>
      </w:r>
      <w:r w:rsidR="008256C7" w:rsidRPr="00BE507D">
        <w:rPr>
          <w:rFonts w:ascii="標楷體" w:eastAsia="標楷體" w:hAnsi="標楷體" w:hint="eastAsia"/>
          <w:b/>
          <w:sz w:val="32"/>
          <w:szCs w:val="32"/>
        </w:rPr>
        <w:t>總</w:t>
      </w:r>
      <w:r w:rsidR="00707E1A" w:rsidRPr="00BE507D">
        <w:rPr>
          <w:rFonts w:ascii="標楷體" w:eastAsia="標楷體" w:hAnsi="標楷體" w:hint="eastAsia"/>
          <w:b/>
          <w:sz w:val="32"/>
          <w:szCs w:val="32"/>
        </w:rPr>
        <w:t>交易</w:t>
      </w:r>
      <w:r w:rsidR="00CE5040" w:rsidRPr="00BE507D">
        <w:rPr>
          <w:rFonts w:ascii="標楷體" w:eastAsia="標楷體" w:hAnsi="標楷體" w:hint="eastAsia"/>
          <w:b/>
          <w:sz w:val="32"/>
          <w:szCs w:val="32"/>
        </w:rPr>
        <w:t>金額</w:t>
      </w:r>
      <w:r w:rsidRPr="00BE507D">
        <w:rPr>
          <w:rFonts w:ascii="標楷體" w:eastAsia="標楷體" w:hAnsi="標楷體" w:hint="eastAsia"/>
          <w:b/>
          <w:sz w:val="32"/>
          <w:szCs w:val="32"/>
        </w:rPr>
        <w:t>統計</w:t>
      </w:r>
    </w:p>
    <w:p w:rsidR="004D2F9E" w:rsidRDefault="00FF1EC1" w:rsidP="00BE507D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67510F">
        <w:rPr>
          <w:rFonts w:ascii="標楷體" w:eastAsia="標楷體" w:hAnsi="標楷體" w:hint="eastAsia"/>
          <w:sz w:val="28"/>
          <w:szCs w:val="28"/>
        </w:rPr>
        <w:t>依據本市最新實價登錄資料</w:t>
      </w:r>
      <w:r w:rsidR="00617D0D">
        <w:rPr>
          <w:rFonts w:ascii="標楷體" w:eastAsia="標楷體" w:hAnsi="標楷體" w:hint="eastAsia"/>
          <w:sz w:val="28"/>
          <w:szCs w:val="28"/>
        </w:rPr>
        <w:t>顯示</w:t>
      </w:r>
      <w:r w:rsidRPr="0067510F">
        <w:rPr>
          <w:rFonts w:ascii="標楷體" w:eastAsia="標楷體" w:hAnsi="標楷體" w:hint="eastAsia"/>
          <w:sz w:val="28"/>
          <w:szCs w:val="28"/>
        </w:rPr>
        <w:t>，</w:t>
      </w:r>
      <w:r w:rsidR="008E3A7D">
        <w:rPr>
          <w:rFonts w:ascii="標楷體" w:eastAsia="標楷體" w:hAnsi="標楷體" w:hint="eastAsia"/>
          <w:sz w:val="28"/>
          <w:szCs w:val="28"/>
        </w:rPr>
        <w:t>106</w:t>
      </w:r>
      <w:r w:rsidR="008B30A2" w:rsidRPr="0067510F">
        <w:rPr>
          <w:rFonts w:ascii="標楷體" w:eastAsia="標楷體" w:hAnsi="標楷體" w:hint="eastAsia"/>
          <w:sz w:val="28"/>
          <w:szCs w:val="28"/>
        </w:rPr>
        <w:t>年</w:t>
      </w:r>
      <w:r w:rsidR="008E3A7D">
        <w:rPr>
          <w:rFonts w:ascii="標楷體" w:eastAsia="標楷體" w:hAnsi="標楷體" w:hint="eastAsia"/>
          <w:sz w:val="28"/>
          <w:szCs w:val="28"/>
        </w:rPr>
        <w:t>1</w:t>
      </w:r>
      <w:r w:rsidR="00617D0D">
        <w:rPr>
          <w:rFonts w:ascii="標楷體" w:eastAsia="標楷體" w:hAnsi="標楷體" w:hint="eastAsia"/>
          <w:sz w:val="28"/>
          <w:szCs w:val="28"/>
        </w:rPr>
        <w:t>月</w:t>
      </w:r>
      <w:r w:rsidR="008E3A7D">
        <w:rPr>
          <w:rFonts w:ascii="標楷體" w:eastAsia="標楷體" w:hAnsi="標楷體" w:hint="eastAsia"/>
          <w:sz w:val="28"/>
          <w:szCs w:val="28"/>
        </w:rPr>
        <w:t>交易之</w:t>
      </w:r>
      <w:r w:rsidR="00617D0D">
        <w:rPr>
          <w:rFonts w:ascii="標楷體" w:eastAsia="標楷體" w:hAnsi="標楷體" w:hint="eastAsia"/>
          <w:sz w:val="28"/>
          <w:szCs w:val="28"/>
        </w:rPr>
        <w:t>揭露案件</w:t>
      </w:r>
      <w:r w:rsidR="008E3A7D">
        <w:rPr>
          <w:rFonts w:ascii="標楷體" w:eastAsia="標楷體" w:hAnsi="標楷體" w:hint="eastAsia"/>
          <w:sz w:val="28"/>
          <w:szCs w:val="28"/>
        </w:rPr>
        <w:t>土地、</w:t>
      </w:r>
      <w:proofErr w:type="gramStart"/>
      <w:r w:rsidR="008E3A7D">
        <w:rPr>
          <w:rFonts w:ascii="標楷體" w:eastAsia="標楷體" w:hAnsi="標楷體" w:hint="eastAsia"/>
          <w:sz w:val="28"/>
          <w:szCs w:val="28"/>
        </w:rPr>
        <w:t>建物</w:t>
      </w:r>
      <w:r w:rsidR="008B30A2" w:rsidRPr="0067510F">
        <w:rPr>
          <w:rFonts w:ascii="標楷體" w:eastAsia="標楷體" w:hAnsi="標楷體" w:hint="eastAsia"/>
          <w:sz w:val="28"/>
          <w:szCs w:val="28"/>
        </w:rPr>
        <w:t>筆棟數</w:t>
      </w:r>
      <w:proofErr w:type="gramEnd"/>
      <w:r w:rsidR="008B30A2" w:rsidRPr="0067510F">
        <w:rPr>
          <w:rFonts w:ascii="標楷體" w:eastAsia="標楷體" w:hAnsi="標楷體" w:hint="eastAsia"/>
          <w:sz w:val="28"/>
          <w:szCs w:val="28"/>
        </w:rPr>
        <w:t>為</w:t>
      </w:r>
      <w:r w:rsidR="008E3A7D">
        <w:rPr>
          <w:rFonts w:ascii="標楷體" w:eastAsia="標楷體" w:hAnsi="標楷體" w:hint="eastAsia"/>
          <w:sz w:val="28"/>
          <w:szCs w:val="28"/>
        </w:rPr>
        <w:t>2</w:t>
      </w:r>
      <w:r w:rsidR="008B30A2" w:rsidRPr="0067510F">
        <w:rPr>
          <w:rFonts w:ascii="標楷體" w:eastAsia="標楷體" w:hAnsi="標楷體" w:hint="eastAsia"/>
          <w:sz w:val="28"/>
          <w:szCs w:val="28"/>
        </w:rPr>
        <w:t>,</w:t>
      </w:r>
      <w:r w:rsidR="008E3A7D">
        <w:rPr>
          <w:rFonts w:ascii="標楷體" w:eastAsia="標楷體" w:hAnsi="標楷體" w:hint="eastAsia"/>
          <w:sz w:val="28"/>
          <w:szCs w:val="28"/>
        </w:rPr>
        <w:t>581</w:t>
      </w:r>
      <w:r w:rsidR="008B30A2" w:rsidRPr="0067510F">
        <w:rPr>
          <w:rFonts w:ascii="標楷體" w:eastAsia="標楷體" w:hAnsi="標楷體" w:hint="eastAsia"/>
          <w:sz w:val="28"/>
          <w:szCs w:val="28"/>
        </w:rPr>
        <w:t>筆，分別較前月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(</w:t>
      </w:r>
      <w:r w:rsidR="008E3A7D">
        <w:rPr>
          <w:rFonts w:ascii="標楷體" w:eastAsia="標楷體" w:hAnsi="標楷體" w:hint="eastAsia"/>
          <w:sz w:val="28"/>
          <w:szCs w:val="28"/>
        </w:rPr>
        <w:t>5,861</w:t>
      </w:r>
      <w:r w:rsidR="0054261E" w:rsidRPr="0067510F">
        <w:rPr>
          <w:rFonts w:ascii="標楷體" w:eastAsia="標楷體" w:hAnsi="標楷體" w:hint="eastAsia"/>
          <w:sz w:val="28"/>
          <w:szCs w:val="28"/>
        </w:rPr>
        <w:t>筆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)</w:t>
      </w:r>
      <w:r w:rsidR="008B30A2" w:rsidRPr="0067510F">
        <w:rPr>
          <w:rFonts w:ascii="標楷體" w:eastAsia="標楷體" w:hAnsi="標楷體" w:hint="eastAsia"/>
          <w:sz w:val="28"/>
          <w:szCs w:val="28"/>
        </w:rPr>
        <w:t>與</w:t>
      </w:r>
      <w:r w:rsidR="008E3A7D">
        <w:rPr>
          <w:rFonts w:ascii="標楷體" w:eastAsia="標楷體" w:hAnsi="標楷體" w:hint="eastAsia"/>
          <w:sz w:val="28"/>
          <w:szCs w:val="28"/>
        </w:rPr>
        <w:t>105</w:t>
      </w:r>
      <w:r w:rsidR="00707E1A" w:rsidRPr="0067510F">
        <w:rPr>
          <w:rFonts w:ascii="標楷體" w:eastAsia="標楷體" w:hAnsi="標楷體" w:hint="eastAsia"/>
          <w:sz w:val="28"/>
          <w:szCs w:val="28"/>
        </w:rPr>
        <w:t>年</w:t>
      </w:r>
      <w:r w:rsidR="008E3A7D">
        <w:rPr>
          <w:rFonts w:ascii="標楷體" w:eastAsia="標楷體" w:hAnsi="標楷體" w:hint="eastAsia"/>
          <w:sz w:val="28"/>
          <w:szCs w:val="28"/>
        </w:rPr>
        <w:t>1</w:t>
      </w:r>
      <w:r w:rsidR="008B30A2" w:rsidRPr="0067510F">
        <w:rPr>
          <w:rFonts w:ascii="標楷體" w:eastAsia="標楷體" w:hAnsi="標楷體" w:hint="eastAsia"/>
          <w:sz w:val="28"/>
          <w:szCs w:val="28"/>
        </w:rPr>
        <w:t>月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(</w:t>
      </w:r>
      <w:r w:rsidR="008E3A7D">
        <w:rPr>
          <w:rFonts w:ascii="標楷體" w:eastAsia="標楷體" w:hAnsi="標楷體" w:hint="eastAsia"/>
          <w:sz w:val="28"/>
          <w:szCs w:val="28"/>
        </w:rPr>
        <w:t>4,302</w:t>
      </w:r>
      <w:r w:rsidR="0054261E" w:rsidRPr="0067510F">
        <w:rPr>
          <w:rFonts w:ascii="標楷體" w:eastAsia="標楷體" w:hAnsi="標楷體" w:hint="eastAsia"/>
          <w:sz w:val="28"/>
          <w:szCs w:val="28"/>
        </w:rPr>
        <w:t>筆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)</w:t>
      </w:r>
      <w:r w:rsidR="008B30A2" w:rsidRPr="0067510F">
        <w:rPr>
          <w:rFonts w:ascii="標楷體" w:eastAsia="標楷體" w:hAnsi="標楷體" w:hint="eastAsia"/>
          <w:sz w:val="28"/>
          <w:szCs w:val="28"/>
        </w:rPr>
        <w:t>減少</w:t>
      </w:r>
      <w:r w:rsidR="008E3A7D">
        <w:rPr>
          <w:rFonts w:ascii="標楷體" w:eastAsia="標楷體" w:hAnsi="標楷體" w:hint="eastAsia"/>
          <w:sz w:val="28"/>
          <w:szCs w:val="28"/>
        </w:rPr>
        <w:t>55</w:t>
      </w:r>
      <w:r w:rsidR="008B30A2" w:rsidRPr="0067510F">
        <w:rPr>
          <w:rFonts w:ascii="標楷體" w:eastAsia="標楷體" w:hAnsi="標楷體"/>
          <w:sz w:val="28"/>
          <w:szCs w:val="28"/>
        </w:rPr>
        <w:t>.</w:t>
      </w:r>
      <w:r w:rsidR="008E3A7D">
        <w:rPr>
          <w:rFonts w:ascii="標楷體" w:eastAsia="標楷體" w:hAnsi="標楷體" w:hint="eastAsia"/>
          <w:sz w:val="28"/>
          <w:szCs w:val="28"/>
        </w:rPr>
        <w:t>96</w:t>
      </w:r>
      <w:r w:rsidR="008B30A2" w:rsidRPr="0067510F">
        <w:rPr>
          <w:rFonts w:ascii="標楷體" w:eastAsia="標楷體" w:hAnsi="標楷體" w:hint="eastAsia"/>
          <w:sz w:val="28"/>
          <w:szCs w:val="28"/>
        </w:rPr>
        <w:t>%與</w:t>
      </w:r>
      <w:r w:rsidR="008E3A7D">
        <w:rPr>
          <w:rFonts w:ascii="標楷體" w:eastAsia="標楷體" w:hAnsi="標楷體" w:hint="eastAsia"/>
          <w:sz w:val="28"/>
          <w:szCs w:val="28"/>
        </w:rPr>
        <w:t>40.00</w:t>
      </w:r>
      <w:r w:rsidR="008B30A2" w:rsidRPr="0067510F">
        <w:rPr>
          <w:rFonts w:ascii="標楷體" w:eastAsia="標楷體" w:hAnsi="標楷體" w:hint="eastAsia"/>
          <w:sz w:val="28"/>
          <w:szCs w:val="28"/>
        </w:rPr>
        <w:t>%</w:t>
      </w:r>
      <w:r w:rsidR="004D2F9E" w:rsidRPr="0067510F">
        <w:rPr>
          <w:rFonts w:ascii="標楷體" w:eastAsia="標楷體" w:hAnsi="標楷體" w:hint="eastAsia"/>
          <w:sz w:val="28"/>
          <w:szCs w:val="28"/>
        </w:rPr>
        <w:t>。</w:t>
      </w:r>
    </w:p>
    <w:p w:rsidR="004D2F9E" w:rsidRDefault="004D2F9E" w:rsidP="00896246">
      <w:pPr>
        <w:ind w:rightChars="96" w:right="230"/>
        <w:rPr>
          <w:rFonts w:ascii="微軟正黑體" w:eastAsia="微軟正黑體" w:hAnsi="微軟正黑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7040</wp:posOffset>
            </wp:positionH>
            <wp:positionV relativeFrom="paragraph">
              <wp:posOffset>115266</wp:posOffset>
            </wp:positionV>
            <wp:extent cx="5264481" cy="2551734"/>
            <wp:effectExtent l="0" t="0" r="12700" b="20320"/>
            <wp:wrapNone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DB62B1" w:rsidRPr="00DB62B1" w:rsidRDefault="00050DE5" w:rsidP="00050DE5">
      <w:pPr>
        <w:tabs>
          <w:tab w:val="left" w:pos="6236"/>
        </w:tabs>
        <w:spacing w:afterLines="50" w:after="180" w:line="400" w:lineRule="exact"/>
        <w:ind w:left="425" w:rightChars="96" w:right="230" w:firstLineChars="200" w:firstLine="40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ab/>
      </w: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214631" w:rsidP="00BE507D">
      <w:pPr>
        <w:spacing w:line="400" w:lineRule="exact"/>
        <w:ind w:rightChars="37" w:right="89" w:firstLineChars="150" w:firstLine="30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2249170</wp:posOffset>
                </wp:positionH>
                <wp:positionV relativeFrom="paragraph">
                  <wp:posOffset>88265</wp:posOffset>
                </wp:positionV>
                <wp:extent cx="2947670" cy="320040"/>
                <wp:effectExtent l="0" t="0" r="0" b="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DB62B1" w:rsidRDefault="00E02A61" w:rsidP="001B1F6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圖、近一年實價登錄揭露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案件</w:t>
                            </w:r>
                            <w:proofErr w:type="gramStart"/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交易筆棟數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趨勢圖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7.1pt;margin-top:6.95pt;width:232.1pt;height:25.2pt;z-index:25167872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" filled="f" stroked="f">
                <v:textbox style="mso-fit-shape-to-text:t">
                  <w:txbxContent>
                    <w:p w:rsidR="00E02A61" w:rsidRPr="00DB62B1" w:rsidRDefault="00E02A61" w:rsidP="001B1F6E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圖、近一年實價登錄揭露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案件</w:t>
                      </w:r>
                      <w:proofErr w:type="gramStart"/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交易筆棟數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趨勢圖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E507D" w:rsidRDefault="00BE507D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3619AC" w:rsidRPr="002624CA" w:rsidRDefault="008B30A2" w:rsidP="002624CA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67510F">
        <w:rPr>
          <w:rFonts w:ascii="標楷體" w:eastAsia="標楷體" w:hAnsi="標楷體" w:hint="eastAsia"/>
          <w:sz w:val="28"/>
          <w:szCs w:val="28"/>
        </w:rPr>
        <w:t>在</w:t>
      </w:r>
      <w:r w:rsidR="00521218" w:rsidRPr="0067510F">
        <w:rPr>
          <w:rFonts w:ascii="標楷體" w:eastAsia="標楷體" w:hAnsi="標楷體" w:hint="eastAsia"/>
          <w:sz w:val="28"/>
          <w:szCs w:val="28"/>
        </w:rPr>
        <w:t>實價登錄揭露案件</w:t>
      </w:r>
      <w:r w:rsidR="00707E1A" w:rsidRPr="0067510F">
        <w:rPr>
          <w:rFonts w:ascii="標楷體" w:eastAsia="標楷體" w:hAnsi="標楷體" w:hint="eastAsia"/>
          <w:b/>
          <w:sz w:val="28"/>
          <w:szCs w:val="28"/>
        </w:rPr>
        <w:t>買賣</w:t>
      </w:r>
      <w:r w:rsidR="00F0373B" w:rsidRPr="0067510F">
        <w:rPr>
          <w:rFonts w:ascii="標楷體" w:eastAsia="標楷體" w:hAnsi="標楷體" w:hint="eastAsia"/>
          <w:b/>
          <w:sz w:val="28"/>
          <w:szCs w:val="28"/>
        </w:rPr>
        <w:t>總</w:t>
      </w:r>
      <w:r w:rsidR="00886F8A" w:rsidRPr="0067510F">
        <w:rPr>
          <w:rFonts w:ascii="標楷體" w:eastAsia="標楷體" w:hAnsi="標楷體" w:hint="eastAsia"/>
          <w:b/>
          <w:sz w:val="28"/>
          <w:szCs w:val="28"/>
        </w:rPr>
        <w:t>交易</w:t>
      </w:r>
      <w:r w:rsidR="00F0373B" w:rsidRPr="0067510F">
        <w:rPr>
          <w:rFonts w:ascii="標楷體" w:eastAsia="標楷體" w:hAnsi="標楷體" w:hint="eastAsia"/>
          <w:b/>
          <w:sz w:val="28"/>
          <w:szCs w:val="28"/>
        </w:rPr>
        <w:t>金額</w:t>
      </w:r>
      <w:r w:rsidR="00F0373B" w:rsidRPr="0067510F">
        <w:rPr>
          <w:rFonts w:ascii="標楷體" w:eastAsia="標楷體" w:hAnsi="標楷體" w:hint="eastAsia"/>
          <w:sz w:val="28"/>
          <w:szCs w:val="28"/>
        </w:rPr>
        <w:t>統計</w:t>
      </w:r>
      <w:r w:rsidRPr="0067510F">
        <w:rPr>
          <w:rFonts w:ascii="標楷體" w:eastAsia="標楷體" w:hAnsi="標楷體" w:hint="eastAsia"/>
          <w:sz w:val="28"/>
          <w:szCs w:val="28"/>
        </w:rPr>
        <w:t>方面</w:t>
      </w:r>
      <w:r w:rsidR="003619AC" w:rsidRPr="0067510F">
        <w:rPr>
          <w:rFonts w:ascii="標楷體" w:eastAsia="標楷體" w:hAnsi="標楷體" w:hint="eastAsia"/>
          <w:sz w:val="28"/>
          <w:szCs w:val="28"/>
        </w:rPr>
        <w:t>，</w:t>
      </w:r>
      <w:r w:rsidR="00395A20" w:rsidRPr="0067510F">
        <w:rPr>
          <w:rFonts w:ascii="標楷體" w:eastAsia="標楷體" w:hAnsi="標楷體" w:hint="eastAsia"/>
          <w:sz w:val="28"/>
          <w:szCs w:val="28"/>
        </w:rPr>
        <w:t>10</w:t>
      </w:r>
      <w:r w:rsidR="00413066">
        <w:rPr>
          <w:rFonts w:ascii="標楷體" w:eastAsia="標楷體" w:hAnsi="標楷體" w:hint="eastAsia"/>
          <w:sz w:val="28"/>
          <w:szCs w:val="28"/>
        </w:rPr>
        <w:t>6</w:t>
      </w:r>
      <w:r w:rsidR="00395A20" w:rsidRPr="0067510F">
        <w:rPr>
          <w:rFonts w:ascii="標楷體" w:eastAsia="標楷體" w:hAnsi="標楷體" w:hint="eastAsia"/>
          <w:sz w:val="28"/>
          <w:szCs w:val="28"/>
        </w:rPr>
        <w:t>年</w:t>
      </w:r>
      <w:r w:rsidR="002023DF" w:rsidRPr="0067510F">
        <w:rPr>
          <w:rFonts w:ascii="標楷體" w:eastAsia="標楷體" w:hAnsi="標楷體" w:hint="eastAsia"/>
          <w:sz w:val="28"/>
          <w:szCs w:val="28"/>
        </w:rPr>
        <w:t>1</w:t>
      </w:r>
      <w:r w:rsidR="00395A20" w:rsidRPr="0067510F">
        <w:rPr>
          <w:rFonts w:ascii="標楷體" w:eastAsia="標楷體" w:hAnsi="標楷體" w:hint="eastAsia"/>
          <w:sz w:val="28"/>
          <w:szCs w:val="28"/>
        </w:rPr>
        <w:t>月</w:t>
      </w:r>
      <w:r w:rsidR="00847B7E" w:rsidRPr="0067510F">
        <w:rPr>
          <w:rFonts w:ascii="標楷體" w:eastAsia="標楷體" w:hAnsi="標楷體" w:hint="eastAsia"/>
          <w:sz w:val="28"/>
          <w:szCs w:val="28"/>
        </w:rPr>
        <w:t>份</w:t>
      </w:r>
      <w:r w:rsidR="00A920EA" w:rsidRPr="0067510F">
        <w:rPr>
          <w:rFonts w:ascii="標楷體" w:eastAsia="標楷體" w:hAnsi="標楷體" w:hint="eastAsia"/>
          <w:sz w:val="28"/>
          <w:szCs w:val="28"/>
        </w:rPr>
        <w:t>約為</w:t>
      </w:r>
      <w:r w:rsidR="00413066">
        <w:rPr>
          <w:rFonts w:ascii="標楷體" w:eastAsia="標楷體" w:hAnsi="標楷體" w:hint="eastAsia"/>
          <w:sz w:val="28"/>
          <w:szCs w:val="28"/>
        </w:rPr>
        <w:t>97.45</w:t>
      </w:r>
      <w:r w:rsidR="00A920EA" w:rsidRPr="0067510F">
        <w:rPr>
          <w:rFonts w:ascii="標楷體" w:eastAsia="標楷體" w:hAnsi="標楷體" w:hint="eastAsia"/>
          <w:sz w:val="28"/>
          <w:szCs w:val="28"/>
        </w:rPr>
        <w:t>億元，較前月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(</w:t>
      </w:r>
      <w:r w:rsidR="00413066">
        <w:rPr>
          <w:rFonts w:ascii="標楷體" w:eastAsia="標楷體" w:hAnsi="標楷體" w:hint="eastAsia"/>
          <w:sz w:val="28"/>
          <w:szCs w:val="28"/>
        </w:rPr>
        <w:t>278.12</w:t>
      </w:r>
      <w:r w:rsidR="0054261E" w:rsidRPr="0067510F">
        <w:rPr>
          <w:rFonts w:ascii="標楷體" w:eastAsia="標楷體" w:hAnsi="標楷體" w:hint="eastAsia"/>
          <w:sz w:val="28"/>
          <w:szCs w:val="28"/>
        </w:rPr>
        <w:t>億元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)</w:t>
      </w:r>
      <w:r w:rsidR="0056032F" w:rsidRPr="0067510F">
        <w:rPr>
          <w:rFonts w:ascii="標楷體" w:eastAsia="標楷體" w:hAnsi="標楷體" w:hint="eastAsia"/>
          <w:sz w:val="28"/>
          <w:szCs w:val="28"/>
        </w:rPr>
        <w:t>減少</w:t>
      </w:r>
      <w:r w:rsidR="00930CF8">
        <w:rPr>
          <w:rFonts w:ascii="標楷體" w:eastAsia="標楷體" w:hAnsi="標楷體" w:hint="eastAsia"/>
          <w:sz w:val="28"/>
          <w:szCs w:val="28"/>
        </w:rPr>
        <w:t>64.96</w:t>
      </w:r>
      <w:r w:rsidR="001819FE" w:rsidRPr="0067510F">
        <w:rPr>
          <w:rFonts w:ascii="標楷體" w:eastAsia="標楷體" w:hAnsi="標楷體" w:hint="eastAsia"/>
          <w:sz w:val="28"/>
          <w:szCs w:val="28"/>
        </w:rPr>
        <w:t>%，</w:t>
      </w:r>
      <w:r w:rsidR="00530830" w:rsidRPr="0067510F">
        <w:rPr>
          <w:rFonts w:ascii="標楷體" w:eastAsia="標楷體" w:hAnsi="標楷體" w:hint="eastAsia"/>
          <w:sz w:val="28"/>
          <w:szCs w:val="28"/>
        </w:rPr>
        <w:t>與</w:t>
      </w:r>
      <w:r w:rsidR="00DB256F">
        <w:rPr>
          <w:rFonts w:ascii="標楷體" w:eastAsia="標楷體" w:hAnsi="標楷體" w:hint="eastAsia"/>
          <w:sz w:val="28"/>
          <w:szCs w:val="28"/>
        </w:rPr>
        <w:t>105</w:t>
      </w:r>
      <w:r w:rsidR="00707E1A" w:rsidRPr="0067510F">
        <w:rPr>
          <w:rFonts w:ascii="標楷體" w:eastAsia="標楷體" w:hAnsi="標楷體" w:hint="eastAsia"/>
          <w:sz w:val="28"/>
          <w:szCs w:val="28"/>
        </w:rPr>
        <w:t>年</w:t>
      </w:r>
      <w:r w:rsidR="00DB256F">
        <w:rPr>
          <w:rFonts w:ascii="標楷體" w:eastAsia="標楷體" w:hAnsi="標楷體" w:hint="eastAsia"/>
          <w:sz w:val="28"/>
          <w:szCs w:val="28"/>
        </w:rPr>
        <w:t>1</w:t>
      </w:r>
      <w:r w:rsidR="00A920EA" w:rsidRPr="0067510F">
        <w:rPr>
          <w:rFonts w:ascii="標楷體" w:eastAsia="標楷體" w:hAnsi="標楷體" w:hint="eastAsia"/>
          <w:sz w:val="28"/>
          <w:szCs w:val="28"/>
        </w:rPr>
        <w:t>月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(</w:t>
      </w:r>
      <w:r w:rsidR="00E12354">
        <w:rPr>
          <w:rFonts w:ascii="標楷體" w:eastAsia="標楷體" w:hAnsi="標楷體" w:hint="eastAsia"/>
          <w:sz w:val="28"/>
          <w:szCs w:val="28"/>
        </w:rPr>
        <w:t>188.68</w:t>
      </w:r>
      <w:r w:rsidR="0054261E" w:rsidRPr="0067510F">
        <w:rPr>
          <w:rFonts w:ascii="標楷體" w:eastAsia="標楷體" w:hAnsi="標楷體" w:hint="eastAsia"/>
          <w:sz w:val="28"/>
          <w:szCs w:val="28"/>
        </w:rPr>
        <w:t>億元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)</w:t>
      </w:r>
      <w:r w:rsidR="001006A7" w:rsidRPr="0067510F">
        <w:rPr>
          <w:rFonts w:ascii="標楷體" w:eastAsia="標楷體" w:hAnsi="標楷體" w:hint="eastAsia"/>
          <w:sz w:val="28"/>
          <w:szCs w:val="28"/>
        </w:rPr>
        <w:t>相較</w:t>
      </w:r>
      <w:r w:rsidR="00B04A9C" w:rsidRPr="0067510F">
        <w:rPr>
          <w:rFonts w:ascii="標楷體" w:eastAsia="標楷體" w:hAnsi="標楷體" w:hint="eastAsia"/>
          <w:sz w:val="28"/>
          <w:szCs w:val="28"/>
        </w:rPr>
        <w:t>減少</w:t>
      </w:r>
      <w:r w:rsidR="00F75A1F">
        <w:rPr>
          <w:rFonts w:ascii="標楷體" w:eastAsia="標楷體" w:hAnsi="標楷體" w:hint="eastAsia"/>
          <w:sz w:val="28"/>
          <w:szCs w:val="28"/>
        </w:rPr>
        <w:t>48.35</w:t>
      </w:r>
      <w:r w:rsidR="00A920EA" w:rsidRPr="0067510F">
        <w:rPr>
          <w:rFonts w:ascii="標楷體" w:eastAsia="標楷體" w:hAnsi="標楷體" w:hint="eastAsia"/>
          <w:sz w:val="28"/>
          <w:szCs w:val="28"/>
        </w:rPr>
        <w:t>%</w:t>
      </w:r>
      <w:r w:rsidR="003619AC" w:rsidRPr="0067510F">
        <w:rPr>
          <w:rFonts w:ascii="標楷體" w:eastAsia="標楷體" w:hAnsi="標楷體" w:hint="eastAsia"/>
          <w:sz w:val="28"/>
          <w:szCs w:val="28"/>
        </w:rPr>
        <w:t>。</w:t>
      </w:r>
    </w:p>
    <w:p w:rsidR="0052040A" w:rsidRDefault="00214631" w:rsidP="00896246">
      <w:pPr>
        <w:ind w:rightChars="96" w:right="230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2167890</wp:posOffset>
                </wp:positionH>
                <wp:positionV relativeFrom="paragraph">
                  <wp:posOffset>2698750</wp:posOffset>
                </wp:positionV>
                <wp:extent cx="3084830" cy="320040"/>
                <wp:effectExtent l="0" t="0" r="0" b="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DB62B1" w:rsidRDefault="00E02A61" w:rsidP="001B1F6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圖、近一年實價登錄揭露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案件買賣總交易金額趨勢圖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0.7pt;margin-top:212.5pt;width:242.9pt;height:25.2pt;z-index:25168076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" filled="f" stroked="f">
                <v:textbox style="mso-fit-shape-to-text:t">
                  <w:txbxContent>
                    <w:p w:rsidR="00E02A61" w:rsidRPr="00DB62B1" w:rsidRDefault="00E02A61" w:rsidP="001B1F6E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圖、近一年實價登錄揭露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案件買賣總交易金額趨勢圖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040A"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22943</wp:posOffset>
            </wp:positionH>
            <wp:positionV relativeFrom="paragraph">
              <wp:posOffset>98591</wp:posOffset>
            </wp:positionV>
            <wp:extent cx="5270831" cy="2551733"/>
            <wp:effectExtent l="0" t="0" r="25400" b="20320"/>
            <wp:wrapNone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006A7" w:rsidRDefault="003619AC" w:rsidP="001006A7">
      <w:pPr>
        <w:ind w:left="482" w:rightChars="96" w:right="23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4D2F9E" w:rsidRPr="002624CA" w:rsidRDefault="004D2F9E" w:rsidP="001006A7">
      <w:pPr>
        <w:pStyle w:val="a3"/>
        <w:numPr>
          <w:ilvl w:val="0"/>
          <w:numId w:val="1"/>
        </w:numPr>
        <w:ind w:leftChars="0" w:left="476" w:rightChars="96" w:right="230"/>
        <w:rPr>
          <w:rFonts w:ascii="標楷體" w:eastAsia="標楷體" w:hAnsi="標楷體"/>
          <w:b/>
          <w:sz w:val="32"/>
          <w:szCs w:val="32"/>
        </w:rPr>
      </w:pPr>
      <w:r w:rsidRPr="002624CA">
        <w:rPr>
          <w:rFonts w:ascii="標楷體" w:eastAsia="標楷體" w:hAnsi="標楷體" w:hint="eastAsia"/>
          <w:b/>
          <w:sz w:val="32"/>
          <w:szCs w:val="32"/>
        </w:rPr>
        <w:lastRenderedPageBreak/>
        <w:t>各行政區成交</w:t>
      </w:r>
      <w:r w:rsidR="008256C7" w:rsidRPr="002624CA">
        <w:rPr>
          <w:rFonts w:ascii="標楷體" w:eastAsia="標楷體" w:hAnsi="標楷體" w:hint="eastAsia"/>
          <w:b/>
          <w:sz w:val="32"/>
          <w:szCs w:val="32"/>
        </w:rPr>
        <w:t>規模</w:t>
      </w:r>
      <w:r w:rsidRPr="002624CA">
        <w:rPr>
          <w:rFonts w:ascii="標楷體" w:eastAsia="標楷體" w:hAnsi="標楷體" w:hint="eastAsia"/>
          <w:b/>
          <w:sz w:val="32"/>
          <w:szCs w:val="32"/>
        </w:rPr>
        <w:t>表現</w:t>
      </w:r>
    </w:p>
    <w:p w:rsidR="002624CA" w:rsidRPr="002624CA" w:rsidRDefault="008B30A2" w:rsidP="00487FAB">
      <w:pPr>
        <w:spacing w:line="400" w:lineRule="exact"/>
        <w:ind w:rightChars="37" w:right="89" w:firstLineChars="20" w:firstLine="56"/>
        <w:jc w:val="both"/>
        <w:rPr>
          <w:rFonts w:ascii="標楷體" w:eastAsia="標楷體" w:hAnsi="標楷體"/>
          <w:b/>
          <w:sz w:val="28"/>
          <w:szCs w:val="28"/>
        </w:rPr>
      </w:pPr>
      <w:r w:rsidRPr="002624CA">
        <w:rPr>
          <w:rFonts w:ascii="標楷體" w:eastAsia="標楷體" w:hAnsi="標楷體" w:hint="eastAsia"/>
          <w:sz w:val="28"/>
          <w:szCs w:val="28"/>
        </w:rPr>
        <w:t>桃園市</w:t>
      </w:r>
      <w:proofErr w:type="gramStart"/>
      <w:r w:rsidRPr="002624CA">
        <w:rPr>
          <w:rFonts w:ascii="標楷體" w:eastAsia="標楷體" w:hAnsi="標楷體" w:hint="eastAsia"/>
          <w:sz w:val="28"/>
          <w:szCs w:val="28"/>
        </w:rPr>
        <w:t>近一年來</w:t>
      </w:r>
      <w:r w:rsidRPr="002624CA">
        <w:rPr>
          <w:rFonts w:ascii="標楷體" w:eastAsia="標楷體" w:hAnsi="標楷體" w:hint="eastAsia"/>
          <w:b/>
          <w:sz w:val="28"/>
          <w:szCs w:val="28"/>
        </w:rPr>
        <w:t>成交</w:t>
      </w:r>
      <w:proofErr w:type="gramEnd"/>
      <w:r w:rsidRPr="002624CA">
        <w:rPr>
          <w:rFonts w:ascii="標楷體" w:eastAsia="標楷體" w:hAnsi="標楷體" w:hint="eastAsia"/>
          <w:b/>
          <w:sz w:val="28"/>
          <w:szCs w:val="28"/>
        </w:rPr>
        <w:t>重點區域</w:t>
      </w:r>
      <w:r w:rsidR="002624CA" w:rsidRPr="002624C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B62B1" w:rsidRDefault="008B30A2" w:rsidP="002624CA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67510F">
        <w:rPr>
          <w:rFonts w:ascii="標楷體" w:eastAsia="標楷體" w:hAnsi="標楷體" w:hint="eastAsia"/>
          <w:sz w:val="28"/>
          <w:szCs w:val="28"/>
        </w:rPr>
        <w:t>以中壢區</w:t>
      </w:r>
      <w:r w:rsidR="00864AC3">
        <w:rPr>
          <w:rFonts w:ascii="標楷體" w:eastAsia="標楷體" w:hAnsi="標楷體" w:hint="eastAsia"/>
          <w:sz w:val="28"/>
          <w:szCs w:val="28"/>
        </w:rPr>
        <w:t>(19.75</w:t>
      </w:r>
      <w:r w:rsidR="002624CA" w:rsidRPr="0067510F">
        <w:rPr>
          <w:rFonts w:ascii="標楷體" w:eastAsia="標楷體" w:hAnsi="標楷體" w:hint="eastAsia"/>
          <w:sz w:val="28"/>
          <w:szCs w:val="28"/>
        </w:rPr>
        <w:t>%)</w:t>
      </w:r>
      <w:r w:rsidR="00450DF1" w:rsidRPr="0067510F">
        <w:rPr>
          <w:rFonts w:ascii="標楷體" w:eastAsia="標楷體" w:hAnsi="標楷體" w:hint="eastAsia"/>
          <w:sz w:val="28"/>
          <w:szCs w:val="28"/>
        </w:rPr>
        <w:t>、</w:t>
      </w:r>
      <w:r w:rsidRPr="0067510F">
        <w:rPr>
          <w:rFonts w:ascii="標楷體" w:eastAsia="標楷體" w:hAnsi="標楷體" w:hint="eastAsia"/>
          <w:sz w:val="28"/>
          <w:szCs w:val="28"/>
        </w:rPr>
        <w:t>桃園區</w:t>
      </w:r>
      <w:r w:rsidR="00864AC3">
        <w:rPr>
          <w:rFonts w:ascii="標楷體" w:eastAsia="標楷體" w:hAnsi="標楷體" w:hint="eastAsia"/>
          <w:sz w:val="28"/>
          <w:szCs w:val="28"/>
        </w:rPr>
        <w:t>(17.58</w:t>
      </w:r>
      <w:r w:rsidR="002624CA" w:rsidRPr="0067510F">
        <w:rPr>
          <w:rFonts w:ascii="標楷體" w:eastAsia="標楷體" w:hAnsi="標楷體" w:hint="eastAsia"/>
          <w:sz w:val="28"/>
          <w:szCs w:val="28"/>
        </w:rPr>
        <w:t>%)</w:t>
      </w:r>
      <w:r w:rsidR="00450DF1" w:rsidRPr="0067510F">
        <w:rPr>
          <w:rFonts w:ascii="標楷體" w:eastAsia="標楷體" w:hAnsi="標楷體" w:hint="eastAsia"/>
          <w:sz w:val="28"/>
          <w:szCs w:val="28"/>
        </w:rPr>
        <w:t>及龜山區</w:t>
      </w:r>
      <w:r w:rsidR="00864AC3">
        <w:rPr>
          <w:rFonts w:ascii="標楷體" w:eastAsia="標楷體" w:hAnsi="標楷體" w:hint="eastAsia"/>
          <w:sz w:val="28"/>
          <w:szCs w:val="28"/>
        </w:rPr>
        <w:t>(12.27</w:t>
      </w:r>
      <w:r w:rsidR="002624CA" w:rsidRPr="0067510F">
        <w:rPr>
          <w:rFonts w:ascii="標楷體" w:eastAsia="標楷體" w:hAnsi="標楷體" w:hint="eastAsia"/>
          <w:sz w:val="28"/>
          <w:szCs w:val="28"/>
        </w:rPr>
        <w:t>%)</w:t>
      </w:r>
      <w:r w:rsidR="0064385F">
        <w:rPr>
          <w:rFonts w:ascii="標楷體" w:eastAsia="標楷體" w:hAnsi="標楷體" w:hint="eastAsia"/>
          <w:sz w:val="28"/>
          <w:szCs w:val="28"/>
        </w:rPr>
        <w:t>相對</w:t>
      </w:r>
      <w:r w:rsidR="004B22A2">
        <w:rPr>
          <w:rFonts w:ascii="標楷體" w:eastAsia="標楷體" w:hAnsi="標楷體" w:hint="eastAsia"/>
          <w:sz w:val="28"/>
          <w:szCs w:val="28"/>
        </w:rPr>
        <w:t>活</w:t>
      </w:r>
      <w:r w:rsidR="0064385F">
        <w:rPr>
          <w:rFonts w:ascii="標楷體" w:eastAsia="標楷體" w:hAnsi="標楷體" w:hint="eastAsia"/>
          <w:sz w:val="28"/>
          <w:szCs w:val="28"/>
        </w:rPr>
        <w:t>絡</w:t>
      </w:r>
      <w:r w:rsidRPr="0067510F">
        <w:rPr>
          <w:rFonts w:ascii="標楷體" w:eastAsia="標楷體" w:hAnsi="標楷體" w:hint="eastAsia"/>
          <w:sz w:val="28"/>
          <w:szCs w:val="28"/>
        </w:rPr>
        <w:t>，其土地、建物</w:t>
      </w:r>
      <w:proofErr w:type="gramStart"/>
      <w:r w:rsidRPr="0067510F">
        <w:rPr>
          <w:rFonts w:ascii="標楷體" w:eastAsia="標楷體" w:hAnsi="標楷體" w:hint="eastAsia"/>
          <w:sz w:val="28"/>
          <w:szCs w:val="28"/>
        </w:rPr>
        <w:t>交易筆棟數</w:t>
      </w:r>
      <w:proofErr w:type="gramEnd"/>
      <w:r w:rsidR="00B16F6D" w:rsidRPr="0067510F">
        <w:rPr>
          <w:rFonts w:ascii="標楷體" w:eastAsia="標楷體" w:hAnsi="標楷體" w:hint="eastAsia"/>
          <w:sz w:val="28"/>
          <w:szCs w:val="28"/>
        </w:rPr>
        <w:t>合計</w:t>
      </w:r>
      <w:r w:rsidR="00450DF1" w:rsidRPr="0067510F">
        <w:rPr>
          <w:rFonts w:ascii="標楷體" w:eastAsia="標楷體" w:hAnsi="標楷體" w:hint="eastAsia"/>
          <w:sz w:val="28"/>
          <w:szCs w:val="28"/>
        </w:rPr>
        <w:t>約</w:t>
      </w:r>
      <w:proofErr w:type="gramStart"/>
      <w:r w:rsidRPr="0067510F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67510F">
        <w:rPr>
          <w:rFonts w:ascii="標楷體" w:eastAsia="標楷體" w:hAnsi="標楷體" w:hint="eastAsia"/>
          <w:sz w:val="28"/>
          <w:szCs w:val="28"/>
        </w:rPr>
        <w:t>全市</w:t>
      </w:r>
      <w:r w:rsidR="00450DF1" w:rsidRPr="0067510F">
        <w:rPr>
          <w:rFonts w:ascii="標楷體" w:eastAsia="標楷體" w:hAnsi="標楷體" w:hint="eastAsia"/>
          <w:sz w:val="28"/>
          <w:szCs w:val="28"/>
        </w:rPr>
        <w:t>一半</w:t>
      </w:r>
      <w:r w:rsidRPr="0067510F">
        <w:rPr>
          <w:rFonts w:ascii="標楷體" w:eastAsia="標楷體" w:hAnsi="標楷體" w:hint="eastAsia"/>
          <w:sz w:val="28"/>
          <w:szCs w:val="28"/>
        </w:rPr>
        <w:t>。</w:t>
      </w:r>
    </w:p>
    <w:p w:rsidR="002624CA" w:rsidRPr="002624CA" w:rsidRDefault="002624CA" w:rsidP="002624CA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</w:p>
    <w:p w:rsidR="002624CA" w:rsidRPr="00487FAB" w:rsidRDefault="002624CA" w:rsidP="00487FAB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487FAB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30894</wp:posOffset>
            </wp:positionH>
            <wp:positionV relativeFrom="margin">
              <wp:posOffset>1524414</wp:posOffset>
            </wp:positionV>
            <wp:extent cx="5261914" cy="2615979"/>
            <wp:effectExtent l="0" t="0" r="15240" b="13335"/>
            <wp:wrapNone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2624CA" w:rsidRDefault="002624CA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2624CA" w:rsidRDefault="002624CA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2624CA" w:rsidRDefault="002624CA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2624CA" w:rsidRDefault="002624CA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2624CA" w:rsidRDefault="002624CA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2624CA" w:rsidRDefault="002624CA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2624CA" w:rsidRDefault="002624CA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2624CA" w:rsidRDefault="002624CA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DB62B1" w:rsidRPr="00DB62B1" w:rsidRDefault="00214631" w:rsidP="00896246">
      <w:pPr>
        <w:tabs>
          <w:tab w:val="left" w:pos="2961"/>
        </w:tabs>
        <w:ind w:rightChars="96" w:right="23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2265680</wp:posOffset>
                </wp:positionH>
                <wp:positionV relativeFrom="paragraph">
                  <wp:posOffset>444500</wp:posOffset>
                </wp:positionV>
                <wp:extent cx="2933065" cy="320040"/>
                <wp:effectExtent l="0" t="0" r="0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DB62B1" w:rsidRDefault="00E02A61" w:rsidP="001B1F6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圖、近一年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各行政區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交易筆棟數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分配圖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78.4pt;margin-top:35pt;width:230.95pt;height:25.2pt;z-index:25168281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" filled="f" stroked="f">
                <v:textbox style="mso-fit-shape-to-text:t">
                  <w:txbxContent>
                    <w:p w:rsidR="00E02A61" w:rsidRPr="00DB62B1" w:rsidRDefault="00E02A61" w:rsidP="001B1F6E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圖、近一年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各行政區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交易筆棟數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分配圖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62B1">
        <w:rPr>
          <w:rFonts w:ascii="微軟正黑體" w:eastAsia="微軟正黑體" w:hAnsi="微軟正黑體"/>
          <w:szCs w:val="24"/>
        </w:rPr>
        <w:tab/>
      </w:r>
    </w:p>
    <w:p w:rsidR="002624CA" w:rsidRDefault="002624CA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2624CA" w:rsidRDefault="002624CA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9039DB" w:rsidRDefault="009039DB" w:rsidP="00D51742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DB62B1" w:rsidRPr="00487FAB" w:rsidRDefault="0054261E" w:rsidP="00487FAB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67510F">
        <w:rPr>
          <w:rFonts w:ascii="標楷體" w:eastAsia="標楷體" w:hAnsi="標楷體" w:hint="eastAsia"/>
          <w:sz w:val="28"/>
          <w:szCs w:val="28"/>
        </w:rPr>
        <w:t>在</w:t>
      </w:r>
      <w:r w:rsidRPr="0067510F">
        <w:rPr>
          <w:rFonts w:ascii="標楷體" w:eastAsia="標楷體" w:hAnsi="標楷體" w:hint="eastAsia"/>
          <w:b/>
          <w:sz w:val="28"/>
          <w:szCs w:val="28"/>
        </w:rPr>
        <w:t>成交總金額</w:t>
      </w:r>
      <w:r w:rsidRPr="0067510F">
        <w:rPr>
          <w:rFonts w:ascii="標楷體" w:eastAsia="標楷體" w:hAnsi="標楷體" w:hint="eastAsia"/>
          <w:sz w:val="28"/>
          <w:szCs w:val="28"/>
        </w:rPr>
        <w:t>方面，以</w:t>
      </w:r>
      <w:r w:rsidR="006A08A6">
        <w:rPr>
          <w:rFonts w:ascii="標楷體" w:eastAsia="標楷體" w:hAnsi="標楷體" w:hint="eastAsia"/>
          <w:sz w:val="28"/>
          <w:szCs w:val="28"/>
        </w:rPr>
        <w:t>中壢</w:t>
      </w:r>
      <w:r w:rsidR="001819FE" w:rsidRPr="0067510F">
        <w:rPr>
          <w:rFonts w:ascii="標楷體" w:eastAsia="標楷體" w:hAnsi="標楷體" w:hint="eastAsia"/>
          <w:sz w:val="28"/>
          <w:szCs w:val="28"/>
        </w:rPr>
        <w:t>區</w:t>
      </w:r>
      <w:r w:rsidR="006A08A6">
        <w:rPr>
          <w:rFonts w:ascii="標楷體" w:eastAsia="標楷體" w:hAnsi="標楷體" w:hint="eastAsia"/>
          <w:sz w:val="28"/>
          <w:szCs w:val="28"/>
        </w:rPr>
        <w:t>(730.90</w:t>
      </w:r>
      <w:r w:rsidR="002624CA" w:rsidRPr="0067510F">
        <w:rPr>
          <w:rFonts w:ascii="標楷體" w:eastAsia="標楷體" w:hAnsi="標楷體" w:hint="eastAsia"/>
          <w:sz w:val="28"/>
          <w:szCs w:val="28"/>
        </w:rPr>
        <w:t>億元)</w:t>
      </w:r>
      <w:r w:rsidR="00B16F6D" w:rsidRPr="0067510F">
        <w:rPr>
          <w:rFonts w:ascii="標楷體" w:eastAsia="標楷體" w:hAnsi="標楷體" w:hint="eastAsia"/>
          <w:sz w:val="28"/>
          <w:szCs w:val="28"/>
        </w:rPr>
        <w:t>最高</w:t>
      </w:r>
      <w:r w:rsidR="001819FE" w:rsidRPr="0067510F">
        <w:rPr>
          <w:rFonts w:ascii="標楷體" w:eastAsia="標楷體" w:hAnsi="標楷體" w:hint="eastAsia"/>
          <w:sz w:val="28"/>
          <w:szCs w:val="28"/>
        </w:rPr>
        <w:t>、</w:t>
      </w:r>
      <w:r w:rsidR="006A08A6">
        <w:rPr>
          <w:rFonts w:ascii="標楷體" w:eastAsia="標楷體" w:hAnsi="標楷體" w:hint="eastAsia"/>
          <w:sz w:val="28"/>
          <w:szCs w:val="28"/>
        </w:rPr>
        <w:t>桃園</w:t>
      </w:r>
      <w:r w:rsidRPr="0067510F">
        <w:rPr>
          <w:rFonts w:ascii="標楷體" w:eastAsia="標楷體" w:hAnsi="標楷體" w:hint="eastAsia"/>
          <w:sz w:val="28"/>
          <w:szCs w:val="28"/>
        </w:rPr>
        <w:t>區</w:t>
      </w:r>
      <w:r w:rsidR="006A08A6">
        <w:rPr>
          <w:rFonts w:ascii="標楷體" w:eastAsia="標楷體" w:hAnsi="標楷體" w:hint="eastAsia"/>
          <w:sz w:val="28"/>
          <w:szCs w:val="28"/>
        </w:rPr>
        <w:t>(722.42</w:t>
      </w:r>
      <w:r w:rsidR="002624CA" w:rsidRPr="0067510F">
        <w:rPr>
          <w:rFonts w:ascii="標楷體" w:eastAsia="標楷體" w:hAnsi="標楷體" w:hint="eastAsia"/>
          <w:sz w:val="28"/>
          <w:szCs w:val="28"/>
        </w:rPr>
        <w:t>億元)</w:t>
      </w:r>
      <w:r w:rsidR="00B16F6D" w:rsidRPr="0067510F">
        <w:rPr>
          <w:rFonts w:ascii="標楷體" w:eastAsia="標楷體" w:hAnsi="標楷體" w:hint="eastAsia"/>
          <w:sz w:val="28"/>
          <w:szCs w:val="28"/>
        </w:rPr>
        <w:t>次之，其次為</w:t>
      </w:r>
      <w:r w:rsidR="006A08A6">
        <w:rPr>
          <w:rFonts w:ascii="標楷體" w:eastAsia="標楷體" w:hAnsi="標楷體" w:hint="eastAsia"/>
          <w:sz w:val="28"/>
          <w:szCs w:val="28"/>
        </w:rPr>
        <w:t>龜山</w:t>
      </w:r>
      <w:r w:rsidRPr="0067510F">
        <w:rPr>
          <w:rFonts w:ascii="標楷體" w:eastAsia="標楷體" w:hAnsi="標楷體" w:hint="eastAsia"/>
          <w:sz w:val="28"/>
          <w:szCs w:val="28"/>
        </w:rPr>
        <w:t>區</w:t>
      </w:r>
      <w:r w:rsidR="002624CA" w:rsidRPr="0067510F">
        <w:rPr>
          <w:rFonts w:ascii="標楷體" w:eastAsia="標楷體" w:hAnsi="標楷體" w:hint="eastAsia"/>
          <w:sz w:val="28"/>
          <w:szCs w:val="28"/>
        </w:rPr>
        <w:t>(</w:t>
      </w:r>
      <w:r w:rsidR="006A08A6">
        <w:rPr>
          <w:rFonts w:ascii="標楷體" w:eastAsia="標楷體" w:hAnsi="標楷體" w:hint="eastAsia"/>
          <w:sz w:val="28"/>
          <w:szCs w:val="28"/>
        </w:rPr>
        <w:t>548.07</w:t>
      </w:r>
      <w:r w:rsidR="002624CA" w:rsidRPr="0067510F">
        <w:rPr>
          <w:rFonts w:ascii="標楷體" w:eastAsia="標楷體" w:hAnsi="標楷體" w:hint="eastAsia"/>
          <w:sz w:val="28"/>
          <w:szCs w:val="28"/>
        </w:rPr>
        <w:t>億元)。</w:t>
      </w:r>
    </w:p>
    <w:p w:rsidR="001822C9" w:rsidRDefault="009039DB" w:rsidP="00896246">
      <w:pPr>
        <w:widowControl/>
        <w:ind w:rightChars="96" w:right="23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72576" behindDoc="1" locked="0" layoutInCell="1" allowOverlap="1" wp14:anchorId="5351257C" wp14:editId="6B17EB33">
            <wp:simplePos x="0" y="0"/>
            <wp:positionH relativeFrom="margin">
              <wp:posOffset>-1270</wp:posOffset>
            </wp:positionH>
            <wp:positionV relativeFrom="margin">
              <wp:posOffset>5667375</wp:posOffset>
            </wp:positionV>
            <wp:extent cx="5262880" cy="2615565"/>
            <wp:effectExtent l="0" t="0" r="13970" b="13335"/>
            <wp:wrapNone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21463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6B0911" wp14:editId="004788A0">
                <wp:simplePos x="0" y="0"/>
                <wp:positionH relativeFrom="page">
                  <wp:posOffset>2265680</wp:posOffset>
                </wp:positionH>
                <wp:positionV relativeFrom="paragraph">
                  <wp:posOffset>2889250</wp:posOffset>
                </wp:positionV>
                <wp:extent cx="2933065" cy="320040"/>
                <wp:effectExtent l="0" t="0" r="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DB62B1" w:rsidRDefault="00E02A61" w:rsidP="001B1F6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圖、近一年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各行政區成交總金額分配圖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78.4pt;margin-top:227.5pt;width:230.95pt;height:25.2pt;z-index:2516848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" filled="f" stroked="f">
                <v:textbox style="mso-fit-shape-to-text:t">
                  <w:txbxContent>
                    <w:p w:rsidR="00E02A61" w:rsidRPr="00DB62B1" w:rsidRDefault="00E02A61" w:rsidP="001B1F6E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圖、近一年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各行政區成交總金額分配圖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22C9"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4D2F9E" w:rsidRPr="00487FAB" w:rsidRDefault="004D2F9E" w:rsidP="00896246">
      <w:pPr>
        <w:pStyle w:val="a3"/>
        <w:numPr>
          <w:ilvl w:val="0"/>
          <w:numId w:val="1"/>
        </w:numPr>
        <w:ind w:leftChars="0" w:left="476" w:rightChars="96" w:right="230"/>
        <w:rPr>
          <w:rFonts w:ascii="標楷體" w:eastAsia="標楷體" w:hAnsi="標楷體"/>
          <w:b/>
          <w:sz w:val="32"/>
          <w:szCs w:val="32"/>
        </w:rPr>
      </w:pPr>
      <w:r w:rsidRPr="00487FAB">
        <w:rPr>
          <w:rFonts w:ascii="標楷體" w:eastAsia="標楷體" w:hAnsi="標楷體" w:hint="eastAsia"/>
          <w:b/>
          <w:sz w:val="32"/>
          <w:szCs w:val="32"/>
        </w:rPr>
        <w:lastRenderedPageBreak/>
        <w:t>住宅市場</w:t>
      </w:r>
      <w:r w:rsidR="008B30A2" w:rsidRPr="00487FAB">
        <w:rPr>
          <w:rFonts w:ascii="標楷體" w:eastAsia="標楷體" w:hAnsi="標楷體" w:hint="eastAsia"/>
          <w:b/>
          <w:sz w:val="32"/>
          <w:szCs w:val="32"/>
        </w:rPr>
        <w:t>成交</w:t>
      </w:r>
      <w:r w:rsidR="007037C4" w:rsidRPr="00487FAB">
        <w:rPr>
          <w:rFonts w:ascii="標楷體" w:eastAsia="標楷體" w:hAnsi="標楷體" w:hint="eastAsia"/>
          <w:b/>
          <w:sz w:val="32"/>
          <w:szCs w:val="32"/>
        </w:rPr>
        <w:t>走勢</w:t>
      </w:r>
      <w:r w:rsidR="0054261E" w:rsidRPr="00487FAB">
        <w:rPr>
          <w:rFonts w:ascii="標楷體" w:eastAsia="標楷體" w:hAnsi="標楷體" w:hint="eastAsia"/>
          <w:b/>
          <w:sz w:val="32"/>
          <w:szCs w:val="32"/>
        </w:rPr>
        <w:t>分析</w:t>
      </w:r>
    </w:p>
    <w:p w:rsidR="0054261E" w:rsidRPr="00487FAB" w:rsidRDefault="0054261E" w:rsidP="00D51829">
      <w:pPr>
        <w:pStyle w:val="a3"/>
        <w:spacing w:line="400" w:lineRule="exact"/>
        <w:ind w:leftChars="0" w:left="28" w:rightChars="96" w:right="230"/>
        <w:jc w:val="both"/>
        <w:rPr>
          <w:rFonts w:ascii="標楷體" w:eastAsia="標楷體" w:hAnsi="標楷體"/>
          <w:b/>
          <w:sz w:val="28"/>
          <w:szCs w:val="28"/>
        </w:rPr>
      </w:pPr>
      <w:r w:rsidRPr="00487FAB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487FAB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487FAB">
        <w:rPr>
          <w:rFonts w:ascii="標楷體" w:eastAsia="標楷體" w:hAnsi="標楷體" w:hint="eastAsia"/>
          <w:b/>
          <w:sz w:val="28"/>
          <w:szCs w:val="28"/>
        </w:rPr>
        <w:t>)平均成交總價走勢</w:t>
      </w:r>
    </w:p>
    <w:p w:rsidR="00487FAB" w:rsidRPr="0067510F" w:rsidRDefault="005169AB" w:rsidP="00487FAB">
      <w:pPr>
        <w:spacing w:line="400" w:lineRule="exact"/>
        <w:ind w:rightChars="37" w:right="89"/>
        <w:jc w:val="both"/>
        <w:rPr>
          <w:rFonts w:ascii="標楷體" w:eastAsia="標楷體" w:hAnsi="標楷體"/>
          <w:sz w:val="28"/>
          <w:szCs w:val="28"/>
        </w:rPr>
      </w:pPr>
      <w:r w:rsidRPr="0067510F">
        <w:rPr>
          <w:rFonts w:ascii="標楷體" w:eastAsia="標楷體" w:hAnsi="標楷體" w:hint="eastAsia"/>
          <w:sz w:val="28"/>
          <w:szCs w:val="28"/>
        </w:rPr>
        <w:t>本市住宅市場</w:t>
      </w:r>
      <w:r w:rsidR="00146118">
        <w:rPr>
          <w:rFonts w:ascii="標楷體" w:eastAsia="標楷體" w:hAnsi="標楷體" w:hint="eastAsia"/>
          <w:sz w:val="28"/>
          <w:szCs w:val="28"/>
        </w:rPr>
        <w:t>106</w:t>
      </w:r>
      <w:r w:rsidR="00AB4EA4" w:rsidRPr="0067510F">
        <w:rPr>
          <w:rFonts w:ascii="標楷體" w:eastAsia="標楷體" w:hAnsi="標楷體" w:hint="eastAsia"/>
          <w:sz w:val="28"/>
          <w:szCs w:val="28"/>
        </w:rPr>
        <w:t>年1月成交總價部分</w:t>
      </w:r>
      <w:r w:rsidR="00487FAB" w:rsidRPr="0067510F">
        <w:rPr>
          <w:rFonts w:ascii="標楷體" w:eastAsia="標楷體" w:hAnsi="標楷體" w:hint="eastAsia"/>
          <w:sz w:val="28"/>
          <w:szCs w:val="28"/>
        </w:rPr>
        <w:t>：</w:t>
      </w:r>
    </w:p>
    <w:p w:rsidR="00487FAB" w:rsidRPr="0067510F" w:rsidRDefault="00487FAB" w:rsidP="00487FAB">
      <w:pPr>
        <w:spacing w:line="400" w:lineRule="exact"/>
        <w:ind w:left="462" w:rightChars="37" w:right="89" w:hangingChars="165" w:hanging="462"/>
        <w:jc w:val="both"/>
        <w:rPr>
          <w:rFonts w:ascii="標楷體" w:eastAsia="標楷體" w:hAnsi="標楷體"/>
          <w:sz w:val="28"/>
          <w:szCs w:val="28"/>
        </w:rPr>
      </w:pPr>
      <w:r w:rsidRPr="0067510F">
        <w:rPr>
          <w:rFonts w:ascii="標楷體" w:eastAsia="標楷體" w:hAnsi="標楷體" w:hint="eastAsia"/>
          <w:sz w:val="28"/>
          <w:szCs w:val="28"/>
        </w:rPr>
        <w:t>1、</w:t>
      </w:r>
      <w:r w:rsidR="000C5459" w:rsidRPr="0067510F">
        <w:rPr>
          <w:rFonts w:ascii="標楷體" w:eastAsia="標楷體" w:hAnsi="標楷體" w:hint="eastAsia"/>
          <w:b/>
          <w:sz w:val="28"/>
          <w:szCs w:val="28"/>
        </w:rPr>
        <w:t>公寓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產品每戶平均成交總價</w:t>
      </w:r>
      <w:r w:rsidR="00324BF2" w:rsidRPr="0067510F">
        <w:rPr>
          <w:rFonts w:ascii="標楷體" w:eastAsia="標楷體" w:hAnsi="標楷體" w:hint="eastAsia"/>
          <w:sz w:val="28"/>
          <w:szCs w:val="28"/>
        </w:rPr>
        <w:t>約</w:t>
      </w:r>
      <w:r w:rsidR="00146118">
        <w:rPr>
          <w:rFonts w:ascii="標楷體" w:eastAsia="標楷體" w:hAnsi="標楷體" w:hint="eastAsia"/>
          <w:sz w:val="28"/>
          <w:szCs w:val="28"/>
        </w:rPr>
        <w:t>292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萬元，</w:t>
      </w:r>
      <w:r w:rsidR="00E64F75">
        <w:rPr>
          <w:rFonts w:ascii="標楷體" w:eastAsia="標楷體" w:hAnsi="標楷體" w:hint="eastAsia"/>
          <w:sz w:val="28"/>
          <w:szCs w:val="28"/>
        </w:rPr>
        <w:t>分別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較前月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(</w:t>
      </w:r>
      <w:r w:rsidR="00324BF2" w:rsidRPr="0067510F">
        <w:rPr>
          <w:rFonts w:ascii="標楷體" w:eastAsia="標楷體" w:hAnsi="標楷體" w:hint="eastAsia"/>
          <w:sz w:val="28"/>
          <w:szCs w:val="28"/>
        </w:rPr>
        <w:t>約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3</w:t>
      </w:r>
      <w:r w:rsidR="00146118">
        <w:rPr>
          <w:rFonts w:ascii="標楷體" w:eastAsia="標楷體" w:hAnsi="標楷體" w:hint="eastAsia"/>
          <w:sz w:val="28"/>
          <w:szCs w:val="28"/>
        </w:rPr>
        <w:t>36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萬元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)</w:t>
      </w:r>
      <w:r w:rsidR="004843DF">
        <w:rPr>
          <w:rFonts w:ascii="標楷體" w:eastAsia="標楷體" w:hAnsi="標楷體" w:hint="eastAsia"/>
          <w:sz w:val="28"/>
          <w:szCs w:val="28"/>
        </w:rPr>
        <w:t>減少13.10</w:t>
      </w:r>
      <w:r w:rsidR="007C4C27" w:rsidRPr="0067510F">
        <w:rPr>
          <w:rFonts w:ascii="標楷體" w:eastAsia="標楷體" w:hAnsi="標楷體" w:hint="eastAsia"/>
          <w:sz w:val="28"/>
          <w:szCs w:val="28"/>
        </w:rPr>
        <w:t>%</w:t>
      </w:r>
      <w:r w:rsidR="00E64F75">
        <w:rPr>
          <w:rFonts w:ascii="標楷體" w:eastAsia="標楷體" w:hAnsi="標楷體" w:hint="eastAsia"/>
          <w:sz w:val="28"/>
          <w:szCs w:val="28"/>
        </w:rPr>
        <w:t>，</w:t>
      </w:r>
      <w:r w:rsidR="004843DF">
        <w:rPr>
          <w:rFonts w:ascii="標楷體" w:eastAsia="標楷體" w:hAnsi="標楷體" w:hint="eastAsia"/>
          <w:sz w:val="28"/>
          <w:szCs w:val="28"/>
        </w:rPr>
        <w:t>105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年1月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(</w:t>
      </w:r>
      <w:r w:rsidR="004843DF">
        <w:rPr>
          <w:rFonts w:ascii="標楷體" w:eastAsia="標楷體" w:hAnsi="標楷體" w:hint="eastAsia"/>
          <w:sz w:val="28"/>
          <w:szCs w:val="28"/>
        </w:rPr>
        <w:t>294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萬元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)</w:t>
      </w:r>
      <w:r w:rsidR="004843DF">
        <w:rPr>
          <w:rFonts w:ascii="標楷體" w:eastAsia="標楷體" w:hAnsi="標楷體" w:hint="eastAsia"/>
          <w:sz w:val="28"/>
          <w:szCs w:val="28"/>
        </w:rPr>
        <w:t>減少0.68</w:t>
      </w:r>
      <w:r w:rsidR="00324BF2" w:rsidRPr="0067510F">
        <w:rPr>
          <w:rFonts w:ascii="標楷體" w:eastAsia="標楷體" w:hAnsi="標楷體" w:hint="eastAsia"/>
          <w:sz w:val="28"/>
          <w:szCs w:val="28"/>
        </w:rPr>
        <w:t>%</w:t>
      </w:r>
      <w:r w:rsidRPr="0067510F">
        <w:rPr>
          <w:rFonts w:ascii="標楷體" w:eastAsia="標楷體" w:hAnsi="標楷體" w:hint="eastAsia"/>
          <w:sz w:val="28"/>
          <w:szCs w:val="28"/>
        </w:rPr>
        <w:t>。</w:t>
      </w:r>
    </w:p>
    <w:p w:rsidR="00487FAB" w:rsidRPr="0067510F" w:rsidRDefault="00487FAB" w:rsidP="00487FAB">
      <w:pPr>
        <w:spacing w:line="400" w:lineRule="exact"/>
        <w:ind w:left="462" w:rightChars="37" w:right="89" w:hangingChars="165" w:hanging="462"/>
        <w:jc w:val="both"/>
        <w:rPr>
          <w:rFonts w:ascii="標楷體" w:eastAsia="標楷體" w:hAnsi="標楷體"/>
          <w:sz w:val="28"/>
          <w:szCs w:val="28"/>
        </w:rPr>
      </w:pPr>
      <w:r w:rsidRPr="0067510F">
        <w:rPr>
          <w:rFonts w:ascii="標楷體" w:eastAsia="標楷體" w:hAnsi="標楷體" w:hint="eastAsia"/>
          <w:sz w:val="28"/>
          <w:szCs w:val="28"/>
        </w:rPr>
        <w:t>2、</w:t>
      </w:r>
      <w:r w:rsidR="000C5459" w:rsidRPr="0067510F">
        <w:rPr>
          <w:rFonts w:ascii="標楷體" w:eastAsia="標楷體" w:hAnsi="標楷體" w:hint="eastAsia"/>
          <w:b/>
          <w:sz w:val="28"/>
          <w:szCs w:val="28"/>
        </w:rPr>
        <w:t>大樓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每戶平均成交總價為</w:t>
      </w:r>
      <w:r w:rsidR="004D35C7">
        <w:rPr>
          <w:rFonts w:ascii="標楷體" w:eastAsia="標楷體" w:hAnsi="標楷體" w:hint="eastAsia"/>
          <w:sz w:val="28"/>
          <w:szCs w:val="28"/>
        </w:rPr>
        <w:t>883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萬元，分別較前月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(</w:t>
      </w:r>
      <w:r w:rsidR="004D35C7">
        <w:rPr>
          <w:rFonts w:ascii="標楷體" w:eastAsia="標楷體" w:hAnsi="標楷體" w:hint="eastAsia"/>
          <w:sz w:val="28"/>
          <w:szCs w:val="28"/>
        </w:rPr>
        <w:t>871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萬元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)</w:t>
      </w:r>
      <w:r w:rsidR="004D35C7">
        <w:rPr>
          <w:rFonts w:ascii="標楷體" w:eastAsia="標楷體" w:hAnsi="標楷體" w:hint="eastAsia"/>
          <w:sz w:val="28"/>
          <w:szCs w:val="28"/>
        </w:rPr>
        <w:t>增加1.38</w:t>
      </w:r>
      <w:r w:rsidR="007C4C27" w:rsidRPr="0067510F">
        <w:rPr>
          <w:rFonts w:ascii="標楷體" w:eastAsia="標楷體" w:hAnsi="標楷體" w:hint="eastAsia"/>
          <w:sz w:val="28"/>
          <w:szCs w:val="28"/>
        </w:rPr>
        <w:t>%</w:t>
      </w:r>
      <w:r w:rsidR="00324BF2" w:rsidRPr="0067510F">
        <w:rPr>
          <w:rFonts w:ascii="標楷體" w:eastAsia="標楷體" w:hAnsi="標楷體" w:hint="eastAsia"/>
          <w:sz w:val="28"/>
          <w:szCs w:val="28"/>
        </w:rPr>
        <w:t>，</w:t>
      </w:r>
      <w:r w:rsidR="004D35C7">
        <w:rPr>
          <w:rFonts w:ascii="標楷體" w:eastAsia="標楷體" w:hAnsi="標楷體" w:hint="eastAsia"/>
          <w:sz w:val="28"/>
          <w:szCs w:val="28"/>
        </w:rPr>
        <w:t>105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年</w:t>
      </w:r>
      <w:r w:rsidR="004D35C7">
        <w:rPr>
          <w:rFonts w:ascii="標楷體" w:eastAsia="標楷體" w:hAnsi="標楷體" w:hint="eastAsia"/>
          <w:sz w:val="28"/>
          <w:szCs w:val="28"/>
        </w:rPr>
        <w:t>1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月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(</w:t>
      </w:r>
      <w:r w:rsidR="004D35C7">
        <w:rPr>
          <w:rFonts w:ascii="標楷體" w:eastAsia="標楷體" w:hAnsi="標楷體" w:hint="eastAsia"/>
          <w:sz w:val="28"/>
          <w:szCs w:val="28"/>
        </w:rPr>
        <w:t>845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萬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)</w:t>
      </w:r>
      <w:r w:rsidR="004D35C7">
        <w:rPr>
          <w:rFonts w:ascii="標楷體" w:eastAsia="標楷體" w:hAnsi="標楷體" w:hint="eastAsia"/>
          <w:sz w:val="28"/>
          <w:szCs w:val="28"/>
        </w:rPr>
        <w:t>增加4</w:t>
      </w:r>
      <w:r w:rsidR="000C5459" w:rsidRPr="0067510F">
        <w:rPr>
          <w:rFonts w:ascii="標楷體" w:eastAsia="標楷體" w:hAnsi="標楷體"/>
          <w:sz w:val="28"/>
          <w:szCs w:val="28"/>
        </w:rPr>
        <w:t>.</w:t>
      </w:r>
      <w:r w:rsidR="004D35C7">
        <w:rPr>
          <w:rFonts w:ascii="標楷體" w:eastAsia="標楷體" w:hAnsi="標楷體" w:hint="eastAsia"/>
          <w:sz w:val="28"/>
          <w:szCs w:val="28"/>
        </w:rPr>
        <w:t>50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%</w:t>
      </w:r>
      <w:r w:rsidRPr="0067510F">
        <w:rPr>
          <w:rFonts w:ascii="標楷體" w:eastAsia="標楷體" w:hAnsi="標楷體" w:hint="eastAsia"/>
          <w:sz w:val="28"/>
          <w:szCs w:val="28"/>
        </w:rPr>
        <w:t>。</w:t>
      </w:r>
    </w:p>
    <w:p w:rsidR="00DB62B1" w:rsidRPr="00487FAB" w:rsidRDefault="00487FAB" w:rsidP="00487FAB">
      <w:pPr>
        <w:spacing w:line="400" w:lineRule="exact"/>
        <w:ind w:left="462" w:rightChars="37" w:right="89" w:hangingChars="165" w:hanging="462"/>
        <w:jc w:val="both"/>
        <w:rPr>
          <w:rFonts w:ascii="標楷體" w:eastAsia="標楷體" w:hAnsi="標楷體"/>
          <w:sz w:val="28"/>
          <w:szCs w:val="28"/>
        </w:rPr>
      </w:pPr>
      <w:r w:rsidRPr="0067510F">
        <w:rPr>
          <w:rFonts w:ascii="標楷體" w:eastAsia="標楷體" w:hAnsi="標楷體" w:hint="eastAsia"/>
          <w:sz w:val="28"/>
          <w:szCs w:val="28"/>
        </w:rPr>
        <w:t>3、</w:t>
      </w:r>
      <w:r w:rsidR="000C5459" w:rsidRPr="0067510F">
        <w:rPr>
          <w:rFonts w:ascii="標楷體" w:eastAsia="標楷體" w:hAnsi="標楷體" w:hint="eastAsia"/>
          <w:b/>
          <w:sz w:val="28"/>
          <w:szCs w:val="28"/>
        </w:rPr>
        <w:t>透天產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品方面，每戶平均成交總價為1,0</w:t>
      </w:r>
      <w:r w:rsidR="004D35C7">
        <w:rPr>
          <w:rFonts w:ascii="標楷體" w:eastAsia="標楷體" w:hAnsi="標楷體" w:hint="eastAsia"/>
          <w:sz w:val="28"/>
          <w:szCs w:val="28"/>
        </w:rPr>
        <w:t>97</w:t>
      </w:r>
      <w:r w:rsidR="00B06373" w:rsidRPr="0067510F">
        <w:rPr>
          <w:rFonts w:ascii="標楷體" w:eastAsia="標楷體" w:hAnsi="標楷體" w:hint="eastAsia"/>
          <w:sz w:val="28"/>
          <w:szCs w:val="28"/>
        </w:rPr>
        <w:t>萬元，</w:t>
      </w:r>
      <w:r w:rsidR="00E64F75">
        <w:rPr>
          <w:rFonts w:ascii="標楷體" w:eastAsia="標楷體" w:hAnsi="標楷體" w:hint="eastAsia"/>
          <w:sz w:val="28"/>
          <w:szCs w:val="28"/>
        </w:rPr>
        <w:t>分別</w:t>
      </w:r>
      <w:r w:rsidR="00787D37">
        <w:rPr>
          <w:rFonts w:ascii="標楷體" w:eastAsia="標楷體" w:hAnsi="標楷體" w:hint="eastAsia"/>
          <w:sz w:val="28"/>
          <w:szCs w:val="28"/>
        </w:rPr>
        <w:t>較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前月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(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1,0</w:t>
      </w:r>
      <w:r w:rsidR="004D35C7">
        <w:rPr>
          <w:rFonts w:ascii="標楷體" w:eastAsia="標楷體" w:hAnsi="標楷體" w:hint="eastAsia"/>
          <w:sz w:val="28"/>
          <w:szCs w:val="28"/>
        </w:rPr>
        <w:t>61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萬元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)</w:t>
      </w:r>
      <w:r w:rsidR="004D35C7">
        <w:rPr>
          <w:rFonts w:ascii="標楷體" w:eastAsia="標楷體" w:hAnsi="標楷體" w:hint="eastAsia"/>
          <w:sz w:val="28"/>
          <w:szCs w:val="28"/>
        </w:rPr>
        <w:t>增加3.39</w:t>
      </w:r>
      <w:r w:rsidR="00324BF2" w:rsidRPr="0067510F">
        <w:rPr>
          <w:rFonts w:ascii="標楷體" w:eastAsia="標楷體" w:hAnsi="標楷體" w:hint="eastAsia"/>
          <w:sz w:val="28"/>
          <w:szCs w:val="28"/>
        </w:rPr>
        <w:t>%</w:t>
      </w:r>
      <w:r w:rsidR="00E64F75">
        <w:rPr>
          <w:rFonts w:ascii="標楷體" w:eastAsia="標楷體" w:hAnsi="標楷體" w:hint="eastAsia"/>
          <w:sz w:val="28"/>
          <w:szCs w:val="28"/>
        </w:rPr>
        <w:t>，</w:t>
      </w:r>
      <w:r w:rsidR="004D35C7">
        <w:rPr>
          <w:rFonts w:ascii="標楷體" w:eastAsia="標楷體" w:hAnsi="標楷體" w:hint="eastAsia"/>
          <w:sz w:val="28"/>
          <w:szCs w:val="28"/>
        </w:rPr>
        <w:t>105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年1月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(</w:t>
      </w:r>
      <w:r w:rsidR="004D35C7">
        <w:rPr>
          <w:rFonts w:ascii="標楷體" w:eastAsia="標楷體" w:hAnsi="標楷體" w:hint="eastAsia"/>
          <w:sz w:val="28"/>
          <w:szCs w:val="28"/>
        </w:rPr>
        <w:t>1,100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萬元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)</w:t>
      </w:r>
      <w:r w:rsidR="00324BF2" w:rsidRPr="0067510F">
        <w:rPr>
          <w:rFonts w:ascii="標楷體" w:eastAsia="標楷體" w:hAnsi="標楷體" w:hint="eastAsia"/>
          <w:sz w:val="28"/>
          <w:szCs w:val="28"/>
        </w:rPr>
        <w:t>減少</w:t>
      </w:r>
      <w:r w:rsidR="004D35C7">
        <w:rPr>
          <w:rFonts w:ascii="標楷體" w:eastAsia="標楷體" w:hAnsi="標楷體" w:hint="eastAsia"/>
          <w:sz w:val="28"/>
          <w:szCs w:val="28"/>
        </w:rPr>
        <w:t>0.27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%</w:t>
      </w:r>
      <w:r w:rsidR="00BF1D22" w:rsidRPr="0067510F">
        <w:rPr>
          <w:rFonts w:ascii="標楷體" w:eastAsia="標楷體" w:hAnsi="標楷體" w:hint="eastAsia"/>
          <w:sz w:val="28"/>
          <w:szCs w:val="28"/>
        </w:rPr>
        <w:t>。</w:t>
      </w:r>
    </w:p>
    <w:p w:rsidR="004D2F9E" w:rsidRPr="00B008E9" w:rsidRDefault="00214631" w:rsidP="00896246">
      <w:pPr>
        <w:widowControl/>
        <w:ind w:rightChars="96" w:right="230"/>
        <w:jc w:val="righ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163195</wp:posOffset>
                </wp:positionV>
                <wp:extent cx="548640" cy="320040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C00D6F" w:rsidRDefault="00E02A61" w:rsidP="001137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C00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.1pt;margin-top:12.85pt;width:43.2pt;height:25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" filled="f" stroked="f">
                <v:textbox style="mso-fit-shape-to-text:t">
                  <w:txbxContent>
                    <w:p w:rsidR="00E02A61" w:rsidRPr="00C00D6F" w:rsidRDefault="00E02A61" w:rsidP="001137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C00D6F">
                        <w:rPr>
                          <w:rFonts w:hint="eastAsia"/>
                          <w:sz w:val="20"/>
                          <w:szCs w:val="20"/>
                        </w:rPr>
                        <w:t>萬元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5459" w:rsidRPr="000C5459">
        <w:rPr>
          <w:rFonts w:ascii="微軟正黑體" w:eastAsia="微軟正黑體" w:hAnsi="微軟正黑體"/>
          <w:b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22943</wp:posOffset>
            </wp:positionH>
            <wp:positionV relativeFrom="paragraph">
              <wp:posOffset>100247</wp:posOffset>
            </wp:positionV>
            <wp:extent cx="5270831" cy="2313830"/>
            <wp:effectExtent l="0" t="0" r="25400" b="10795"/>
            <wp:wrapNone/>
            <wp:docPr id="2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203AB7" w:rsidRDefault="00203AB7" w:rsidP="00896246">
      <w:pPr>
        <w:pStyle w:val="a3"/>
        <w:spacing w:line="400" w:lineRule="exact"/>
        <w:ind w:leftChars="0" w:rightChars="96" w:right="230"/>
        <w:jc w:val="both"/>
        <w:rPr>
          <w:rFonts w:ascii="微軟正黑體" w:eastAsia="微軟正黑體" w:hAnsi="微軟正黑體"/>
          <w:b/>
          <w:szCs w:val="24"/>
        </w:rPr>
      </w:pPr>
      <w:r w:rsidRPr="000C5459">
        <w:rPr>
          <w:rFonts w:ascii="微軟正黑體" w:eastAsia="微軟正黑體" w:hAnsi="微軟正黑體" w:hint="eastAsia"/>
          <w:b/>
          <w:szCs w:val="24"/>
        </w:rPr>
        <w:t xml:space="preserve"> </w:t>
      </w:r>
    </w:p>
    <w:p w:rsidR="00487FAB" w:rsidRDefault="00487FAB" w:rsidP="00D51829">
      <w:pPr>
        <w:pStyle w:val="a3"/>
        <w:spacing w:line="400" w:lineRule="exact"/>
        <w:ind w:leftChars="0" w:left="28" w:rightChars="96" w:right="230"/>
        <w:jc w:val="both"/>
        <w:rPr>
          <w:rFonts w:ascii="微軟正黑體" w:eastAsia="微軟正黑體" w:hAnsi="微軟正黑體"/>
          <w:b/>
          <w:szCs w:val="24"/>
        </w:rPr>
      </w:pPr>
    </w:p>
    <w:p w:rsidR="00487FAB" w:rsidRDefault="00487FAB" w:rsidP="00D51829">
      <w:pPr>
        <w:pStyle w:val="a3"/>
        <w:spacing w:line="400" w:lineRule="exact"/>
        <w:ind w:leftChars="0" w:left="28" w:rightChars="96" w:right="230"/>
        <w:jc w:val="both"/>
        <w:rPr>
          <w:rFonts w:ascii="微軟正黑體" w:eastAsia="微軟正黑體" w:hAnsi="微軟正黑體"/>
          <w:b/>
          <w:szCs w:val="24"/>
        </w:rPr>
      </w:pPr>
    </w:p>
    <w:p w:rsidR="00487FAB" w:rsidRDefault="00487FAB" w:rsidP="00D51829">
      <w:pPr>
        <w:pStyle w:val="a3"/>
        <w:spacing w:line="400" w:lineRule="exact"/>
        <w:ind w:leftChars="0" w:left="28" w:rightChars="96" w:right="230"/>
        <w:jc w:val="both"/>
        <w:rPr>
          <w:rFonts w:ascii="微軟正黑體" w:eastAsia="微軟正黑體" w:hAnsi="微軟正黑體"/>
          <w:b/>
          <w:szCs w:val="24"/>
        </w:rPr>
      </w:pPr>
    </w:p>
    <w:p w:rsidR="00487FAB" w:rsidRDefault="00487FAB" w:rsidP="00D51829">
      <w:pPr>
        <w:pStyle w:val="a3"/>
        <w:spacing w:line="400" w:lineRule="exact"/>
        <w:ind w:leftChars="0" w:left="28" w:rightChars="96" w:right="230"/>
        <w:jc w:val="both"/>
        <w:rPr>
          <w:rFonts w:ascii="微軟正黑體" w:eastAsia="微軟正黑體" w:hAnsi="微軟正黑體"/>
          <w:b/>
          <w:szCs w:val="24"/>
        </w:rPr>
      </w:pPr>
    </w:p>
    <w:p w:rsidR="00487FAB" w:rsidRDefault="00487FAB" w:rsidP="00D51829">
      <w:pPr>
        <w:pStyle w:val="a3"/>
        <w:spacing w:line="400" w:lineRule="exact"/>
        <w:ind w:leftChars="0" w:left="28" w:rightChars="96" w:right="230"/>
        <w:jc w:val="both"/>
        <w:rPr>
          <w:rFonts w:ascii="微軟正黑體" w:eastAsia="微軟正黑體" w:hAnsi="微軟正黑體"/>
          <w:b/>
          <w:szCs w:val="24"/>
        </w:rPr>
      </w:pPr>
    </w:p>
    <w:p w:rsidR="00487FAB" w:rsidRDefault="00487FAB" w:rsidP="00D51829">
      <w:pPr>
        <w:pStyle w:val="a3"/>
        <w:spacing w:line="400" w:lineRule="exact"/>
        <w:ind w:leftChars="0" w:left="28" w:rightChars="96" w:right="230"/>
        <w:jc w:val="both"/>
        <w:rPr>
          <w:rFonts w:ascii="微軟正黑體" w:eastAsia="微軟正黑體" w:hAnsi="微軟正黑體"/>
          <w:b/>
          <w:szCs w:val="24"/>
        </w:rPr>
      </w:pPr>
    </w:p>
    <w:p w:rsidR="00487FAB" w:rsidRDefault="00214631" w:rsidP="00D51829">
      <w:pPr>
        <w:pStyle w:val="a3"/>
        <w:spacing w:line="400" w:lineRule="exact"/>
        <w:ind w:leftChars="0" w:left="28" w:rightChars="96" w:right="230"/>
        <w:jc w:val="both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189230</wp:posOffset>
                </wp:positionV>
                <wp:extent cx="3324225" cy="320040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Default="00E02A61" w:rsidP="00203AB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</w:t>
                            </w:r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、近一年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住宅市場平均成交總價走勢圖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5pt;margin-top:14.9pt;width:261.75pt;height:25.2pt;z-index:25169100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" filled="f" stroked="f">
                <v:textbox style="mso-fit-shape-to-text:t">
                  <w:txbxContent>
                    <w:p w:rsidR="00E02A61" w:rsidRDefault="00E02A61" w:rsidP="00203AB7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</w:t>
                      </w:r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、近一年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住宅市場平均成交總價走勢圖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87FAB" w:rsidRDefault="00487FAB" w:rsidP="00D51829">
      <w:pPr>
        <w:pStyle w:val="a3"/>
        <w:spacing w:line="400" w:lineRule="exact"/>
        <w:ind w:leftChars="0" w:left="28" w:rightChars="96" w:right="230"/>
        <w:jc w:val="both"/>
        <w:rPr>
          <w:rFonts w:ascii="微軟正黑體" w:eastAsia="微軟正黑體" w:hAnsi="微軟正黑體"/>
          <w:b/>
          <w:szCs w:val="24"/>
        </w:rPr>
      </w:pPr>
    </w:p>
    <w:p w:rsidR="000C5459" w:rsidRPr="0067510F" w:rsidRDefault="000C5459" w:rsidP="00D51829">
      <w:pPr>
        <w:pStyle w:val="a3"/>
        <w:spacing w:line="400" w:lineRule="exact"/>
        <w:ind w:leftChars="0" w:left="28" w:rightChars="96" w:right="230"/>
        <w:jc w:val="both"/>
        <w:rPr>
          <w:rFonts w:ascii="標楷體" w:eastAsia="標楷體" w:hAnsi="標楷體"/>
          <w:b/>
          <w:sz w:val="28"/>
          <w:szCs w:val="28"/>
        </w:rPr>
      </w:pPr>
      <w:r w:rsidRPr="0067510F">
        <w:rPr>
          <w:rFonts w:ascii="標楷體" w:eastAsia="標楷體" w:hAnsi="標楷體" w:hint="eastAsia"/>
          <w:b/>
          <w:sz w:val="28"/>
          <w:szCs w:val="28"/>
        </w:rPr>
        <w:t>(</w:t>
      </w:r>
      <w:r w:rsidR="00203AB7" w:rsidRPr="0067510F">
        <w:rPr>
          <w:rFonts w:ascii="標楷體" w:eastAsia="標楷體" w:hAnsi="標楷體" w:hint="eastAsia"/>
          <w:b/>
          <w:sz w:val="28"/>
          <w:szCs w:val="28"/>
        </w:rPr>
        <w:t>二</w:t>
      </w:r>
      <w:r w:rsidRPr="0067510F">
        <w:rPr>
          <w:rFonts w:ascii="標楷體" w:eastAsia="標楷體" w:hAnsi="標楷體" w:hint="eastAsia"/>
          <w:b/>
          <w:sz w:val="28"/>
          <w:szCs w:val="28"/>
        </w:rPr>
        <w:t>)平均成交單價走勢</w:t>
      </w:r>
    </w:p>
    <w:p w:rsidR="00487FAB" w:rsidRPr="0067510F" w:rsidRDefault="000F3D51" w:rsidP="00487FAB">
      <w:pPr>
        <w:spacing w:line="400" w:lineRule="exact"/>
        <w:ind w:rightChars="37" w:right="89"/>
        <w:jc w:val="both"/>
        <w:rPr>
          <w:rFonts w:ascii="標楷體" w:eastAsia="標楷體" w:hAnsi="標楷體"/>
          <w:sz w:val="28"/>
          <w:szCs w:val="28"/>
        </w:rPr>
      </w:pPr>
      <w:r w:rsidRPr="0067510F">
        <w:rPr>
          <w:rFonts w:ascii="標楷體" w:eastAsia="標楷體" w:hAnsi="標楷體" w:hint="eastAsia"/>
          <w:sz w:val="28"/>
          <w:szCs w:val="28"/>
        </w:rPr>
        <w:t>本市住宅市場平均成交單價</w:t>
      </w:r>
      <w:proofErr w:type="gramStart"/>
      <w:r w:rsidRPr="0067510F">
        <w:rPr>
          <w:rFonts w:ascii="標楷體" w:eastAsia="標楷體" w:hAnsi="標楷體" w:hint="eastAsia"/>
          <w:sz w:val="28"/>
          <w:szCs w:val="28"/>
        </w:rPr>
        <w:t>近一年來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呈現</w:t>
      </w:r>
      <w:proofErr w:type="gramEnd"/>
      <w:r w:rsidR="000C5459" w:rsidRPr="0067510F">
        <w:rPr>
          <w:rFonts w:ascii="標楷體" w:eastAsia="標楷體" w:hAnsi="標楷體" w:hint="eastAsia"/>
          <w:sz w:val="28"/>
          <w:szCs w:val="28"/>
        </w:rPr>
        <w:t>漲跌互見的走勢</w:t>
      </w:r>
      <w:r w:rsidR="00487FAB" w:rsidRPr="0067510F">
        <w:rPr>
          <w:rFonts w:ascii="標楷體" w:eastAsia="標楷體" w:hAnsi="標楷體" w:hint="eastAsia"/>
          <w:sz w:val="28"/>
          <w:szCs w:val="28"/>
        </w:rPr>
        <w:t>：</w:t>
      </w:r>
    </w:p>
    <w:p w:rsidR="00487FAB" w:rsidRPr="0067510F" w:rsidRDefault="00487FAB" w:rsidP="00487FAB">
      <w:pPr>
        <w:spacing w:line="400" w:lineRule="exact"/>
        <w:ind w:left="462" w:rightChars="37" w:right="89" w:hangingChars="165" w:hanging="462"/>
        <w:jc w:val="both"/>
        <w:rPr>
          <w:rFonts w:ascii="標楷體" w:eastAsia="標楷體" w:hAnsi="標楷體"/>
          <w:sz w:val="28"/>
          <w:szCs w:val="28"/>
        </w:rPr>
      </w:pPr>
      <w:r w:rsidRPr="0067510F">
        <w:rPr>
          <w:rFonts w:ascii="標楷體" w:eastAsia="標楷體" w:hAnsi="標楷體" w:hint="eastAsia"/>
          <w:sz w:val="28"/>
          <w:szCs w:val="28"/>
        </w:rPr>
        <w:t>1</w:t>
      </w:r>
      <w:r w:rsidR="009E55D9">
        <w:rPr>
          <w:rFonts w:ascii="標楷體" w:eastAsia="標楷體" w:hAnsi="標楷體" w:hint="eastAsia"/>
          <w:sz w:val="28"/>
          <w:szCs w:val="28"/>
        </w:rPr>
        <w:t>、</w:t>
      </w:r>
      <w:r w:rsidR="000C5459" w:rsidRPr="0067510F">
        <w:rPr>
          <w:rFonts w:ascii="標楷體" w:eastAsia="標楷體" w:hAnsi="標楷體" w:hint="eastAsia"/>
          <w:b/>
          <w:sz w:val="28"/>
          <w:szCs w:val="28"/>
        </w:rPr>
        <w:t>大樓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產品</w:t>
      </w:r>
      <w:r w:rsidR="008F05CE">
        <w:rPr>
          <w:rFonts w:ascii="標楷體" w:eastAsia="標楷體" w:hAnsi="標楷體" w:hint="eastAsia"/>
          <w:sz w:val="28"/>
          <w:szCs w:val="28"/>
        </w:rPr>
        <w:t>106</w:t>
      </w:r>
      <w:r w:rsidR="00203AB7" w:rsidRPr="0067510F">
        <w:rPr>
          <w:rFonts w:ascii="標楷體" w:eastAsia="標楷體" w:hAnsi="標楷體" w:hint="eastAsia"/>
          <w:sz w:val="28"/>
          <w:szCs w:val="28"/>
        </w:rPr>
        <w:t>年1月</w:t>
      </w:r>
      <w:proofErr w:type="gramStart"/>
      <w:r w:rsidR="00203AB7" w:rsidRPr="0067510F">
        <w:rPr>
          <w:rFonts w:ascii="標楷體" w:eastAsia="標楷體" w:hAnsi="標楷體" w:hint="eastAsia"/>
          <w:sz w:val="28"/>
          <w:szCs w:val="28"/>
        </w:rPr>
        <w:t>成交均價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為</w:t>
      </w:r>
      <w:proofErr w:type="gramEnd"/>
      <w:r w:rsidR="000C5459" w:rsidRPr="0067510F">
        <w:rPr>
          <w:rFonts w:ascii="標楷體" w:eastAsia="標楷體" w:hAnsi="標楷體" w:hint="eastAsia"/>
          <w:sz w:val="28"/>
          <w:szCs w:val="28"/>
        </w:rPr>
        <w:t>1</w:t>
      </w:r>
      <w:r w:rsidR="00C93DE5">
        <w:rPr>
          <w:rFonts w:ascii="標楷體" w:eastAsia="標楷體" w:hAnsi="標楷體" w:hint="eastAsia"/>
          <w:sz w:val="28"/>
          <w:szCs w:val="28"/>
        </w:rPr>
        <w:t>8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.</w:t>
      </w:r>
      <w:r w:rsidR="00C93DE5">
        <w:rPr>
          <w:rFonts w:ascii="標楷體" w:eastAsia="標楷體" w:hAnsi="標楷體" w:hint="eastAsia"/>
          <w:sz w:val="28"/>
          <w:szCs w:val="28"/>
        </w:rPr>
        <w:t>53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萬元/坪，</w:t>
      </w:r>
      <w:r w:rsidR="003D2974">
        <w:rPr>
          <w:rFonts w:ascii="標楷體" w:eastAsia="標楷體" w:hAnsi="標楷體" w:hint="eastAsia"/>
          <w:sz w:val="28"/>
          <w:szCs w:val="28"/>
        </w:rPr>
        <w:t>分別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較前月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(</w:t>
      </w:r>
      <w:r w:rsidR="00C93DE5">
        <w:rPr>
          <w:rFonts w:ascii="標楷體" w:eastAsia="標楷體" w:hAnsi="標楷體" w:hint="eastAsia"/>
          <w:sz w:val="28"/>
          <w:szCs w:val="28"/>
        </w:rPr>
        <w:t>17.90</w:t>
      </w:r>
      <w:r w:rsidR="00203AB7" w:rsidRPr="0067510F">
        <w:rPr>
          <w:rFonts w:ascii="標楷體" w:eastAsia="標楷體" w:hAnsi="標楷體" w:hint="eastAsia"/>
          <w:sz w:val="28"/>
          <w:szCs w:val="28"/>
        </w:rPr>
        <w:t>萬元/坪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)</w:t>
      </w:r>
      <w:r w:rsidR="00C93DE5">
        <w:rPr>
          <w:rFonts w:ascii="標楷體" w:eastAsia="標楷體" w:hAnsi="標楷體" w:hint="eastAsia"/>
          <w:sz w:val="28"/>
          <w:szCs w:val="28"/>
        </w:rPr>
        <w:t>上漲3.52</w:t>
      </w:r>
      <w:r w:rsidR="007C4C27" w:rsidRPr="0067510F">
        <w:rPr>
          <w:rFonts w:ascii="標楷體" w:eastAsia="標楷體" w:hAnsi="標楷體" w:hint="eastAsia"/>
          <w:sz w:val="28"/>
          <w:szCs w:val="28"/>
        </w:rPr>
        <w:t>%，</w:t>
      </w:r>
      <w:r w:rsidR="003D2974">
        <w:rPr>
          <w:rFonts w:ascii="標楷體" w:eastAsia="標楷體" w:hAnsi="標楷體" w:hint="eastAsia"/>
          <w:sz w:val="28"/>
          <w:szCs w:val="28"/>
        </w:rPr>
        <w:t>及</w:t>
      </w:r>
      <w:r w:rsidR="00C93DE5">
        <w:rPr>
          <w:rFonts w:ascii="標楷體" w:eastAsia="標楷體" w:hAnsi="標楷體" w:hint="eastAsia"/>
          <w:sz w:val="28"/>
          <w:szCs w:val="28"/>
        </w:rPr>
        <w:t>105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年1月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(</w:t>
      </w:r>
      <w:r w:rsidR="00203AB7" w:rsidRPr="0067510F">
        <w:rPr>
          <w:rFonts w:ascii="標楷體" w:eastAsia="標楷體" w:hAnsi="標楷體" w:hint="eastAsia"/>
          <w:sz w:val="28"/>
          <w:szCs w:val="28"/>
        </w:rPr>
        <w:t>1</w:t>
      </w:r>
      <w:r w:rsidR="00C93DE5">
        <w:rPr>
          <w:rFonts w:ascii="標楷體" w:eastAsia="標楷體" w:hAnsi="標楷體" w:hint="eastAsia"/>
          <w:sz w:val="28"/>
          <w:szCs w:val="28"/>
        </w:rPr>
        <w:t>8.11</w:t>
      </w:r>
      <w:r w:rsidR="00203AB7" w:rsidRPr="0067510F">
        <w:rPr>
          <w:rFonts w:ascii="標楷體" w:eastAsia="標楷體" w:hAnsi="標楷體" w:hint="eastAsia"/>
          <w:sz w:val="28"/>
          <w:szCs w:val="28"/>
        </w:rPr>
        <w:t>萬元/坪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)</w:t>
      </w:r>
      <w:r w:rsidR="00C93DE5">
        <w:rPr>
          <w:rFonts w:ascii="標楷體" w:eastAsia="標楷體" w:hAnsi="標楷體" w:hint="eastAsia"/>
          <w:sz w:val="28"/>
          <w:szCs w:val="28"/>
        </w:rPr>
        <w:t>上漲2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.</w:t>
      </w:r>
      <w:r w:rsidR="00C93DE5">
        <w:rPr>
          <w:rFonts w:ascii="標楷體" w:eastAsia="標楷體" w:hAnsi="標楷體" w:hint="eastAsia"/>
          <w:sz w:val="28"/>
          <w:szCs w:val="28"/>
        </w:rPr>
        <w:t>32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%</w:t>
      </w:r>
      <w:r w:rsidRPr="0067510F">
        <w:rPr>
          <w:rFonts w:ascii="標楷體" w:eastAsia="標楷體" w:hAnsi="標楷體" w:hint="eastAsia"/>
          <w:sz w:val="28"/>
          <w:szCs w:val="28"/>
        </w:rPr>
        <w:t>。</w:t>
      </w:r>
    </w:p>
    <w:p w:rsidR="004D2F9E" w:rsidRPr="00487FAB" w:rsidRDefault="00487FAB" w:rsidP="00487FAB">
      <w:pPr>
        <w:spacing w:line="400" w:lineRule="exact"/>
        <w:ind w:left="462" w:rightChars="37" w:right="89" w:hangingChars="165" w:hanging="462"/>
        <w:jc w:val="both"/>
        <w:rPr>
          <w:rFonts w:ascii="標楷體" w:eastAsia="標楷體" w:hAnsi="標楷體"/>
          <w:sz w:val="28"/>
          <w:szCs w:val="28"/>
        </w:rPr>
      </w:pPr>
      <w:r w:rsidRPr="0067510F">
        <w:rPr>
          <w:rFonts w:ascii="標楷體" w:eastAsia="標楷體" w:hAnsi="標楷體" w:hint="eastAsia"/>
          <w:sz w:val="28"/>
          <w:szCs w:val="28"/>
        </w:rPr>
        <w:t>2、</w:t>
      </w:r>
      <w:r w:rsidR="000C5459" w:rsidRPr="0067510F">
        <w:rPr>
          <w:rFonts w:ascii="標楷體" w:eastAsia="標楷體" w:hAnsi="標楷體" w:hint="eastAsia"/>
          <w:b/>
          <w:sz w:val="28"/>
          <w:szCs w:val="28"/>
        </w:rPr>
        <w:t>公寓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類型</w:t>
      </w:r>
      <w:r w:rsidR="00C93DE5">
        <w:rPr>
          <w:rFonts w:ascii="標楷體" w:eastAsia="標楷體" w:hAnsi="標楷體" w:hint="eastAsia"/>
          <w:sz w:val="28"/>
          <w:szCs w:val="28"/>
        </w:rPr>
        <w:t>106</w:t>
      </w:r>
      <w:r w:rsidR="00C93DE5" w:rsidRPr="0067510F">
        <w:rPr>
          <w:rFonts w:ascii="標楷體" w:eastAsia="標楷體" w:hAnsi="標楷體" w:hint="eastAsia"/>
          <w:sz w:val="28"/>
          <w:szCs w:val="28"/>
        </w:rPr>
        <w:t>年1月</w:t>
      </w:r>
      <w:proofErr w:type="gramStart"/>
      <w:r w:rsidR="00203AB7" w:rsidRPr="0067510F">
        <w:rPr>
          <w:rFonts w:ascii="標楷體" w:eastAsia="標楷體" w:hAnsi="標楷體" w:hint="eastAsia"/>
          <w:sz w:val="28"/>
          <w:szCs w:val="28"/>
        </w:rPr>
        <w:t>成交均價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為</w:t>
      </w:r>
      <w:proofErr w:type="gramEnd"/>
      <w:r w:rsidR="00C93DE5">
        <w:rPr>
          <w:rFonts w:ascii="標楷體" w:eastAsia="標楷體" w:hAnsi="標楷體" w:hint="eastAsia"/>
          <w:sz w:val="28"/>
          <w:szCs w:val="28"/>
        </w:rPr>
        <w:t>10</w:t>
      </w:r>
      <w:r w:rsidR="000C5459" w:rsidRPr="0067510F">
        <w:rPr>
          <w:rFonts w:ascii="標楷體" w:eastAsia="標楷體" w:hAnsi="標楷體"/>
          <w:sz w:val="28"/>
          <w:szCs w:val="28"/>
        </w:rPr>
        <w:t>.</w:t>
      </w:r>
      <w:r w:rsidR="00C93DE5">
        <w:rPr>
          <w:rFonts w:ascii="標楷體" w:eastAsia="標楷體" w:hAnsi="標楷體" w:hint="eastAsia"/>
          <w:sz w:val="28"/>
          <w:szCs w:val="28"/>
        </w:rPr>
        <w:t>67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萬元/坪，較前月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(</w:t>
      </w:r>
      <w:r w:rsidR="00C93DE5">
        <w:rPr>
          <w:rFonts w:ascii="標楷體" w:eastAsia="標楷體" w:hAnsi="標楷體" w:hint="eastAsia"/>
          <w:sz w:val="28"/>
          <w:szCs w:val="28"/>
        </w:rPr>
        <w:t>11.77</w:t>
      </w:r>
      <w:r w:rsidR="00203AB7" w:rsidRPr="0067510F">
        <w:rPr>
          <w:rFonts w:ascii="標楷體" w:eastAsia="標楷體" w:hAnsi="標楷體" w:hint="eastAsia"/>
          <w:sz w:val="28"/>
          <w:szCs w:val="28"/>
        </w:rPr>
        <w:t>萬元/坪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)</w:t>
      </w:r>
      <w:r w:rsidR="00C93DE5">
        <w:rPr>
          <w:rFonts w:ascii="標楷體" w:eastAsia="標楷體" w:hAnsi="標楷體" w:hint="eastAsia"/>
          <w:sz w:val="28"/>
          <w:szCs w:val="28"/>
        </w:rPr>
        <w:t>下跌9.35%，</w:t>
      </w:r>
      <w:r w:rsidR="0086559F">
        <w:rPr>
          <w:rFonts w:ascii="標楷體" w:eastAsia="標楷體" w:hAnsi="標楷體" w:hint="eastAsia"/>
          <w:sz w:val="28"/>
          <w:szCs w:val="28"/>
        </w:rPr>
        <w:t>但較</w:t>
      </w:r>
      <w:r w:rsidR="00C93DE5">
        <w:rPr>
          <w:rFonts w:ascii="標楷體" w:eastAsia="標楷體" w:hAnsi="標楷體" w:hint="eastAsia"/>
          <w:sz w:val="28"/>
          <w:szCs w:val="28"/>
        </w:rPr>
        <w:t>105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年</w:t>
      </w:r>
      <w:r w:rsidR="00C93DE5">
        <w:rPr>
          <w:rFonts w:ascii="標楷體" w:eastAsia="標楷體" w:hAnsi="標楷體" w:hint="eastAsia"/>
          <w:sz w:val="28"/>
          <w:szCs w:val="28"/>
        </w:rPr>
        <w:t>1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月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(</w:t>
      </w:r>
      <w:r w:rsidR="00C93DE5">
        <w:rPr>
          <w:rFonts w:ascii="標楷體" w:eastAsia="標楷體" w:hAnsi="標楷體" w:hint="eastAsia"/>
          <w:sz w:val="28"/>
          <w:szCs w:val="28"/>
        </w:rPr>
        <w:t>10.50</w:t>
      </w:r>
      <w:r w:rsidR="00203AB7" w:rsidRPr="0067510F">
        <w:rPr>
          <w:rFonts w:ascii="標楷體" w:eastAsia="標楷體" w:hAnsi="標楷體" w:hint="eastAsia"/>
          <w:sz w:val="28"/>
          <w:szCs w:val="28"/>
        </w:rPr>
        <w:t>萬元/坪</w:t>
      </w:r>
      <w:r w:rsidR="00D51829" w:rsidRPr="0067510F">
        <w:rPr>
          <w:rFonts w:ascii="標楷體" w:eastAsia="標楷體" w:hAnsi="標楷體" w:hint="eastAsia"/>
          <w:sz w:val="28"/>
          <w:szCs w:val="28"/>
        </w:rPr>
        <w:t>)</w:t>
      </w:r>
      <w:r w:rsidR="00C93DE5">
        <w:rPr>
          <w:rFonts w:ascii="標楷體" w:eastAsia="標楷體" w:hAnsi="標楷體" w:hint="eastAsia"/>
          <w:sz w:val="28"/>
          <w:szCs w:val="28"/>
        </w:rPr>
        <w:t>上漲1.62</w:t>
      </w:r>
      <w:r w:rsidR="000C5459" w:rsidRPr="0067510F">
        <w:rPr>
          <w:rFonts w:ascii="標楷體" w:eastAsia="標楷體" w:hAnsi="標楷體" w:hint="eastAsia"/>
          <w:sz w:val="28"/>
          <w:szCs w:val="28"/>
        </w:rPr>
        <w:t>%</w:t>
      </w:r>
      <w:r w:rsidR="008B7EF5" w:rsidRPr="0067510F">
        <w:rPr>
          <w:rFonts w:ascii="標楷體" w:eastAsia="標楷體" w:hAnsi="標楷體" w:hint="eastAsia"/>
          <w:sz w:val="28"/>
          <w:szCs w:val="28"/>
        </w:rPr>
        <w:t>。</w:t>
      </w:r>
    </w:p>
    <w:p w:rsidR="004D2F9E" w:rsidRPr="002068D1" w:rsidRDefault="00214631" w:rsidP="00896246">
      <w:pPr>
        <w:pStyle w:val="a3"/>
        <w:ind w:leftChars="0" w:left="0" w:rightChars="96" w:right="23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119380</wp:posOffset>
                </wp:positionV>
                <wp:extent cx="885825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847B7E" w:rsidRDefault="00E02A61" w:rsidP="00847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0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C00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萬元</w:t>
                            </w:r>
                            <w:r w:rsidRPr="00C00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C00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坪</w:t>
                            </w:r>
                            <w:r w:rsidRPr="00C00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8.45pt;margin-top:9.4pt;width:69.75pt;height:25.2pt;z-index:251617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" filled="f" stroked="f">
                <v:textbox style="mso-fit-shape-to-text:t">
                  <w:txbxContent>
                    <w:p w:rsidR="00E02A61" w:rsidRPr="00847B7E" w:rsidRDefault="00E02A61" w:rsidP="00847B7E">
                      <w:pPr>
                        <w:rPr>
                          <w:sz w:val="20"/>
                          <w:szCs w:val="20"/>
                        </w:rPr>
                      </w:pPr>
                      <w:r w:rsidRPr="00C00D6F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C00D6F">
                        <w:rPr>
                          <w:rFonts w:hint="eastAsia"/>
                          <w:sz w:val="20"/>
                          <w:szCs w:val="20"/>
                        </w:rPr>
                        <w:t>萬元</w:t>
                      </w:r>
                      <w:r w:rsidRPr="00C00D6F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C00D6F">
                        <w:rPr>
                          <w:rFonts w:hint="eastAsia"/>
                          <w:sz w:val="20"/>
                          <w:szCs w:val="20"/>
                        </w:rPr>
                        <w:t>坪</w:t>
                      </w:r>
                      <w:r w:rsidRPr="00C00D6F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04A9C" w:rsidRPr="00B04A9C">
        <w:rPr>
          <w:rFonts w:ascii="微軟正黑體" w:eastAsia="微軟正黑體" w:hAnsi="微軟正黑體" w:hint="eastAsia"/>
          <w:b/>
          <w:noProof/>
          <w:sz w:val="28"/>
          <w:szCs w:val="28"/>
        </w:rPr>
        <w:drawing>
          <wp:inline distT="0" distB="0" distL="0" distR="0">
            <wp:extent cx="5276850" cy="2447925"/>
            <wp:effectExtent l="0" t="0" r="19050" b="9525"/>
            <wp:docPr id="5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2316480</wp:posOffset>
                </wp:positionH>
                <wp:positionV relativeFrom="paragraph">
                  <wp:posOffset>2479675</wp:posOffset>
                </wp:positionV>
                <wp:extent cx="2933065" cy="320040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DB62B1" w:rsidRDefault="00E02A61" w:rsidP="00964BA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</w:t>
                            </w:r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、近一年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住宅市場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成交均價走勢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82.4pt;margin-top:195.25pt;width:230.95pt;height:25.2pt;z-index:2516193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" filled="f" stroked="f">
                <v:textbox style="mso-fit-shape-to-text:t">
                  <w:txbxContent>
                    <w:p w:rsidR="00E02A61" w:rsidRPr="00DB62B1" w:rsidRDefault="00E02A61" w:rsidP="00964BA2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</w:t>
                      </w:r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、近一年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住宅市場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成交均價走勢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7405" w:rsidRDefault="009B51D2" w:rsidP="00896246">
      <w:pPr>
        <w:pStyle w:val="a3"/>
        <w:spacing w:line="400" w:lineRule="exact"/>
        <w:ind w:leftChars="0" w:rightChars="96" w:right="230"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</w:p>
    <w:p w:rsidR="00203AB7" w:rsidRDefault="009039DB" w:rsidP="00D51829">
      <w:pPr>
        <w:pStyle w:val="a3"/>
        <w:spacing w:line="400" w:lineRule="exact"/>
        <w:ind w:leftChars="0" w:left="28" w:rightChars="96" w:right="230"/>
        <w:jc w:val="both"/>
        <w:rPr>
          <w:rFonts w:ascii="標楷體" w:eastAsia="標楷體" w:hAnsi="標楷體"/>
          <w:b/>
          <w:sz w:val="28"/>
          <w:szCs w:val="28"/>
        </w:rPr>
      </w:pPr>
      <w:r w:rsidRPr="00F4428F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</w:t>
      </w:r>
      <w:r w:rsidR="00203AB7" w:rsidRPr="00F4428F">
        <w:rPr>
          <w:rFonts w:ascii="標楷體" w:eastAsia="標楷體" w:hAnsi="標楷體" w:hint="eastAsia"/>
          <w:b/>
          <w:sz w:val="28"/>
          <w:szCs w:val="28"/>
        </w:rPr>
        <w:t>(三)平均</w:t>
      </w:r>
      <w:r w:rsidR="000F3D51" w:rsidRPr="00F4428F">
        <w:rPr>
          <w:rFonts w:ascii="標楷體" w:eastAsia="標楷體" w:hAnsi="標楷體" w:hint="eastAsia"/>
          <w:b/>
          <w:sz w:val="28"/>
          <w:szCs w:val="28"/>
        </w:rPr>
        <w:t>交易</w:t>
      </w:r>
      <w:r w:rsidR="00203AB7" w:rsidRPr="00F4428F">
        <w:rPr>
          <w:rFonts w:ascii="標楷體" w:eastAsia="標楷體" w:hAnsi="標楷體" w:hint="eastAsia"/>
          <w:b/>
          <w:sz w:val="28"/>
          <w:szCs w:val="28"/>
        </w:rPr>
        <w:t>面積分析</w:t>
      </w:r>
    </w:p>
    <w:p w:rsidR="001B42C2" w:rsidRPr="0067510F" w:rsidRDefault="001B42C2" w:rsidP="001B42C2">
      <w:pPr>
        <w:spacing w:line="400" w:lineRule="exact"/>
        <w:ind w:rightChars="37" w:right="89"/>
        <w:jc w:val="both"/>
        <w:rPr>
          <w:rFonts w:ascii="標楷體" w:eastAsia="標楷體" w:hAnsi="標楷體"/>
          <w:sz w:val="28"/>
          <w:szCs w:val="28"/>
        </w:rPr>
      </w:pPr>
      <w:r w:rsidRPr="0067510F">
        <w:rPr>
          <w:rFonts w:ascii="標楷體" w:eastAsia="標楷體" w:hAnsi="標楷體" w:hint="eastAsia"/>
          <w:sz w:val="28"/>
          <w:szCs w:val="28"/>
        </w:rPr>
        <w:t>本市住宅市場</w:t>
      </w:r>
      <w:r w:rsidR="00D21D7E">
        <w:rPr>
          <w:rFonts w:ascii="標楷體" w:eastAsia="標楷體" w:hAnsi="標楷體" w:hint="eastAsia"/>
          <w:sz w:val="28"/>
          <w:szCs w:val="28"/>
        </w:rPr>
        <w:t>106</w:t>
      </w:r>
      <w:r w:rsidRPr="0067510F">
        <w:rPr>
          <w:rFonts w:ascii="標楷體" w:eastAsia="標楷體" w:hAnsi="標楷體" w:hint="eastAsia"/>
          <w:sz w:val="28"/>
          <w:szCs w:val="28"/>
        </w:rPr>
        <w:t>年</w:t>
      </w:r>
      <w:r w:rsidR="00D21D7E">
        <w:rPr>
          <w:rFonts w:ascii="標楷體" w:eastAsia="標楷體" w:hAnsi="標楷體" w:hint="eastAsia"/>
          <w:sz w:val="28"/>
          <w:szCs w:val="28"/>
        </w:rPr>
        <w:t>1</w:t>
      </w:r>
      <w:r w:rsidRPr="0067510F">
        <w:rPr>
          <w:rFonts w:ascii="標楷體" w:eastAsia="標楷體" w:hAnsi="標楷體" w:hint="eastAsia"/>
          <w:sz w:val="28"/>
          <w:szCs w:val="28"/>
        </w:rPr>
        <w:t>月每戶平均成交面積部分：</w:t>
      </w:r>
    </w:p>
    <w:p w:rsidR="001B42C2" w:rsidRPr="0067510F" w:rsidRDefault="001B42C2" w:rsidP="001B42C2">
      <w:pPr>
        <w:spacing w:line="400" w:lineRule="exact"/>
        <w:ind w:left="462" w:rightChars="37" w:right="89" w:hangingChars="165" w:hanging="462"/>
        <w:jc w:val="both"/>
        <w:rPr>
          <w:rFonts w:ascii="標楷體" w:eastAsia="標楷體" w:hAnsi="標楷體"/>
          <w:sz w:val="28"/>
          <w:szCs w:val="28"/>
        </w:rPr>
      </w:pPr>
      <w:r w:rsidRPr="0067510F">
        <w:rPr>
          <w:rFonts w:ascii="標楷體" w:eastAsia="標楷體" w:hAnsi="標楷體" w:hint="eastAsia"/>
          <w:sz w:val="28"/>
          <w:szCs w:val="28"/>
        </w:rPr>
        <w:t>1、</w:t>
      </w:r>
      <w:r w:rsidRPr="0067510F">
        <w:rPr>
          <w:rFonts w:ascii="標楷體" w:eastAsia="標楷體" w:hAnsi="標楷體" w:hint="eastAsia"/>
          <w:b/>
          <w:sz w:val="28"/>
          <w:szCs w:val="28"/>
        </w:rPr>
        <w:t>透天</w:t>
      </w:r>
      <w:proofErr w:type="gramStart"/>
      <w:r w:rsidRPr="0067510F">
        <w:rPr>
          <w:rFonts w:ascii="標楷體" w:eastAsia="標楷體" w:hAnsi="標楷體" w:hint="eastAsia"/>
          <w:b/>
          <w:sz w:val="28"/>
          <w:szCs w:val="28"/>
        </w:rPr>
        <w:t>厝</w:t>
      </w:r>
      <w:proofErr w:type="gramEnd"/>
      <w:r w:rsidRPr="0067510F">
        <w:rPr>
          <w:rFonts w:ascii="標楷體" w:eastAsia="標楷體" w:hAnsi="標楷體" w:hint="eastAsia"/>
          <w:sz w:val="28"/>
          <w:szCs w:val="28"/>
        </w:rPr>
        <w:t>產品平均每戶交易面積為</w:t>
      </w:r>
      <w:r w:rsidR="00D21D7E">
        <w:rPr>
          <w:rFonts w:ascii="標楷體" w:eastAsia="標楷體" w:hAnsi="標楷體" w:hint="eastAsia"/>
          <w:sz w:val="28"/>
          <w:szCs w:val="28"/>
        </w:rPr>
        <w:t>62.15</w:t>
      </w:r>
      <w:r w:rsidRPr="0067510F">
        <w:rPr>
          <w:rFonts w:ascii="標楷體" w:eastAsia="標楷體" w:hAnsi="標楷體" w:hint="eastAsia"/>
          <w:sz w:val="28"/>
          <w:szCs w:val="28"/>
        </w:rPr>
        <w:t>坪，與前月</w:t>
      </w:r>
      <w:r w:rsidR="00D21D7E">
        <w:rPr>
          <w:rFonts w:ascii="標楷體" w:eastAsia="標楷體" w:hAnsi="標楷體" w:hint="eastAsia"/>
          <w:sz w:val="28"/>
          <w:szCs w:val="28"/>
        </w:rPr>
        <w:t>(61.80</w:t>
      </w:r>
      <w:r w:rsidRPr="0067510F">
        <w:rPr>
          <w:rFonts w:ascii="標楷體" w:eastAsia="標楷體" w:hAnsi="標楷體" w:hint="eastAsia"/>
          <w:sz w:val="28"/>
          <w:szCs w:val="28"/>
        </w:rPr>
        <w:t>坪)及</w:t>
      </w:r>
      <w:r w:rsidR="00D21D7E">
        <w:rPr>
          <w:rFonts w:ascii="標楷體" w:eastAsia="標楷體" w:hAnsi="標楷體" w:hint="eastAsia"/>
          <w:sz w:val="28"/>
          <w:szCs w:val="28"/>
        </w:rPr>
        <w:t>105</w:t>
      </w:r>
      <w:r w:rsidRPr="0067510F">
        <w:rPr>
          <w:rFonts w:ascii="標楷體" w:eastAsia="標楷體" w:hAnsi="標楷體" w:hint="eastAsia"/>
          <w:sz w:val="28"/>
          <w:szCs w:val="28"/>
        </w:rPr>
        <w:t>年</w:t>
      </w:r>
      <w:r w:rsidR="00D21D7E">
        <w:rPr>
          <w:rFonts w:ascii="標楷體" w:eastAsia="標楷體" w:hAnsi="標楷體" w:hint="eastAsia"/>
          <w:sz w:val="28"/>
          <w:szCs w:val="28"/>
        </w:rPr>
        <w:t>1</w:t>
      </w:r>
      <w:r w:rsidRPr="0067510F">
        <w:rPr>
          <w:rFonts w:ascii="標楷體" w:eastAsia="標楷體" w:hAnsi="標楷體" w:hint="eastAsia"/>
          <w:sz w:val="28"/>
          <w:szCs w:val="28"/>
        </w:rPr>
        <w:t>月</w:t>
      </w:r>
      <w:r w:rsidR="00D21D7E">
        <w:rPr>
          <w:rFonts w:ascii="標楷體" w:eastAsia="標楷體" w:hAnsi="標楷體" w:hint="eastAsia"/>
          <w:sz w:val="28"/>
          <w:szCs w:val="28"/>
        </w:rPr>
        <w:t>(61.73</w:t>
      </w:r>
      <w:r w:rsidRPr="0067510F">
        <w:rPr>
          <w:rFonts w:ascii="標楷體" w:eastAsia="標楷體" w:hAnsi="標楷體" w:hint="eastAsia"/>
          <w:sz w:val="28"/>
          <w:szCs w:val="28"/>
        </w:rPr>
        <w:t>坪)相當。</w:t>
      </w:r>
    </w:p>
    <w:p w:rsidR="001B42C2" w:rsidRPr="0067510F" w:rsidRDefault="001B42C2" w:rsidP="001B42C2">
      <w:pPr>
        <w:spacing w:line="400" w:lineRule="exact"/>
        <w:ind w:left="462" w:rightChars="37" w:right="89" w:hangingChars="165" w:hanging="462"/>
        <w:jc w:val="both"/>
        <w:rPr>
          <w:rFonts w:ascii="標楷體" w:eastAsia="標楷體" w:hAnsi="標楷體"/>
          <w:sz w:val="28"/>
          <w:szCs w:val="28"/>
        </w:rPr>
      </w:pPr>
      <w:r w:rsidRPr="0067510F">
        <w:rPr>
          <w:rFonts w:ascii="標楷體" w:eastAsia="標楷體" w:hAnsi="標楷體" w:hint="eastAsia"/>
          <w:sz w:val="28"/>
          <w:szCs w:val="28"/>
        </w:rPr>
        <w:t>2、</w:t>
      </w:r>
      <w:r w:rsidRPr="0067510F">
        <w:rPr>
          <w:rFonts w:ascii="標楷體" w:eastAsia="標楷體" w:hAnsi="標楷體" w:hint="eastAsia"/>
          <w:b/>
          <w:sz w:val="28"/>
          <w:szCs w:val="28"/>
        </w:rPr>
        <w:t>大樓</w:t>
      </w:r>
      <w:r w:rsidRPr="0067510F">
        <w:rPr>
          <w:rFonts w:ascii="標楷體" w:eastAsia="標楷體" w:hAnsi="標楷體" w:hint="eastAsia"/>
          <w:sz w:val="28"/>
          <w:szCs w:val="28"/>
        </w:rPr>
        <w:t>產品平均每戶交易面積為</w:t>
      </w:r>
      <w:r w:rsidR="00D21D7E">
        <w:rPr>
          <w:rFonts w:ascii="標楷體" w:eastAsia="標楷體" w:hAnsi="標楷體" w:hint="eastAsia"/>
          <w:sz w:val="28"/>
          <w:szCs w:val="28"/>
        </w:rPr>
        <w:t>47.51</w:t>
      </w:r>
      <w:r w:rsidRPr="0067510F">
        <w:rPr>
          <w:rFonts w:ascii="標楷體" w:eastAsia="標楷體" w:hAnsi="標楷體" w:hint="eastAsia"/>
          <w:sz w:val="28"/>
          <w:szCs w:val="28"/>
        </w:rPr>
        <w:t>坪</w:t>
      </w:r>
      <w:r w:rsidR="00D21D7E">
        <w:rPr>
          <w:rFonts w:ascii="標楷體" w:eastAsia="標楷體" w:hAnsi="標楷體" w:hint="eastAsia"/>
          <w:sz w:val="28"/>
          <w:szCs w:val="28"/>
        </w:rPr>
        <w:t>，</w:t>
      </w:r>
      <w:r w:rsidRPr="0067510F">
        <w:rPr>
          <w:rFonts w:ascii="標楷體" w:eastAsia="標楷體" w:hAnsi="標楷體" w:hint="eastAsia"/>
          <w:sz w:val="28"/>
          <w:szCs w:val="28"/>
        </w:rPr>
        <w:t>與前月</w:t>
      </w:r>
      <w:r w:rsidR="00D21D7E">
        <w:rPr>
          <w:rFonts w:ascii="標楷體" w:eastAsia="標楷體" w:hAnsi="標楷體" w:hint="eastAsia"/>
          <w:sz w:val="28"/>
          <w:szCs w:val="28"/>
        </w:rPr>
        <w:t>(48.02</w:t>
      </w:r>
      <w:r w:rsidRPr="0067510F">
        <w:rPr>
          <w:rFonts w:ascii="標楷體" w:eastAsia="標楷體" w:hAnsi="標楷體" w:hint="eastAsia"/>
          <w:sz w:val="28"/>
          <w:szCs w:val="28"/>
        </w:rPr>
        <w:t>坪)</w:t>
      </w:r>
      <w:r w:rsidR="00D21D7E">
        <w:rPr>
          <w:rFonts w:ascii="標楷體" w:eastAsia="標楷體" w:hAnsi="標楷體" w:hint="eastAsia"/>
          <w:sz w:val="28"/>
          <w:szCs w:val="28"/>
        </w:rPr>
        <w:t>及105</w:t>
      </w:r>
      <w:r w:rsidRPr="0067510F">
        <w:rPr>
          <w:rFonts w:ascii="標楷體" w:eastAsia="標楷體" w:hAnsi="標楷體" w:hint="eastAsia"/>
          <w:sz w:val="28"/>
          <w:szCs w:val="28"/>
        </w:rPr>
        <w:t>年</w:t>
      </w:r>
      <w:r w:rsidR="00D21D7E">
        <w:rPr>
          <w:rFonts w:ascii="標楷體" w:eastAsia="標楷體" w:hAnsi="標楷體" w:hint="eastAsia"/>
          <w:sz w:val="28"/>
          <w:szCs w:val="28"/>
        </w:rPr>
        <w:t>1</w:t>
      </w:r>
      <w:r w:rsidRPr="0067510F">
        <w:rPr>
          <w:rFonts w:ascii="標楷體" w:eastAsia="標楷體" w:hAnsi="標楷體" w:hint="eastAsia"/>
          <w:sz w:val="28"/>
          <w:szCs w:val="28"/>
        </w:rPr>
        <w:t>月</w:t>
      </w:r>
      <w:r w:rsidR="00D21D7E">
        <w:rPr>
          <w:rFonts w:ascii="標楷體" w:eastAsia="標楷體" w:hAnsi="標楷體" w:hint="eastAsia"/>
          <w:sz w:val="28"/>
          <w:szCs w:val="28"/>
        </w:rPr>
        <w:t>(46</w:t>
      </w:r>
      <w:r w:rsidRPr="0067510F">
        <w:rPr>
          <w:rFonts w:ascii="標楷體" w:eastAsia="標楷體" w:hAnsi="標楷體" w:hint="eastAsia"/>
          <w:sz w:val="28"/>
          <w:szCs w:val="28"/>
        </w:rPr>
        <w:t>.</w:t>
      </w:r>
      <w:r w:rsidR="00D21D7E">
        <w:rPr>
          <w:rFonts w:ascii="標楷體" w:eastAsia="標楷體" w:hAnsi="標楷體" w:hint="eastAsia"/>
          <w:sz w:val="28"/>
          <w:szCs w:val="28"/>
        </w:rPr>
        <w:t>81</w:t>
      </w:r>
      <w:r w:rsidRPr="0067510F">
        <w:rPr>
          <w:rFonts w:ascii="標楷體" w:eastAsia="標楷體" w:hAnsi="標楷體" w:hint="eastAsia"/>
          <w:sz w:val="28"/>
          <w:szCs w:val="28"/>
        </w:rPr>
        <w:t>坪)</w:t>
      </w:r>
      <w:r w:rsidR="00D21D7E">
        <w:rPr>
          <w:rFonts w:ascii="標楷體" w:eastAsia="標楷體" w:hAnsi="標楷體" w:hint="eastAsia"/>
          <w:sz w:val="28"/>
          <w:szCs w:val="28"/>
        </w:rPr>
        <w:t>相當</w:t>
      </w:r>
      <w:r w:rsidRPr="0067510F">
        <w:rPr>
          <w:rFonts w:ascii="標楷體" w:eastAsia="標楷體" w:hAnsi="標楷體" w:hint="eastAsia"/>
          <w:sz w:val="28"/>
          <w:szCs w:val="28"/>
        </w:rPr>
        <w:t>。</w:t>
      </w:r>
    </w:p>
    <w:p w:rsidR="001B42C2" w:rsidRPr="001B42C2" w:rsidRDefault="001B42C2" w:rsidP="001B42C2">
      <w:pPr>
        <w:spacing w:line="400" w:lineRule="exact"/>
        <w:ind w:left="462" w:rightChars="37" w:right="89" w:hangingChars="165" w:hanging="462"/>
        <w:jc w:val="both"/>
        <w:rPr>
          <w:rFonts w:ascii="標楷體" w:eastAsia="標楷體" w:hAnsi="標楷體"/>
          <w:sz w:val="28"/>
          <w:szCs w:val="28"/>
        </w:rPr>
      </w:pPr>
      <w:r w:rsidRPr="0067510F">
        <w:rPr>
          <w:rFonts w:ascii="標楷體" w:eastAsia="標楷體" w:hAnsi="標楷體" w:hint="eastAsia"/>
          <w:sz w:val="28"/>
          <w:szCs w:val="28"/>
        </w:rPr>
        <w:t>3、</w:t>
      </w:r>
      <w:r w:rsidRPr="0067510F">
        <w:rPr>
          <w:rFonts w:ascii="標楷體" w:eastAsia="標楷體" w:hAnsi="標楷體" w:hint="eastAsia"/>
          <w:b/>
          <w:sz w:val="28"/>
          <w:szCs w:val="28"/>
        </w:rPr>
        <w:t>公寓</w:t>
      </w:r>
      <w:r w:rsidRPr="0067510F">
        <w:rPr>
          <w:rFonts w:ascii="標楷體" w:eastAsia="標楷體" w:hAnsi="標楷體" w:hint="eastAsia"/>
          <w:sz w:val="28"/>
          <w:szCs w:val="28"/>
        </w:rPr>
        <w:t>產品平均每戶交易面積為</w:t>
      </w:r>
      <w:r w:rsidR="00D21D7E">
        <w:rPr>
          <w:rFonts w:ascii="標楷體" w:eastAsia="標楷體" w:hAnsi="標楷體" w:hint="eastAsia"/>
          <w:sz w:val="28"/>
          <w:szCs w:val="28"/>
        </w:rPr>
        <w:t>27.47</w:t>
      </w:r>
      <w:proofErr w:type="gramStart"/>
      <w:r w:rsidR="00D21D7E">
        <w:rPr>
          <w:rFonts w:ascii="標楷體" w:eastAsia="標楷體" w:hAnsi="標楷體" w:hint="eastAsia"/>
          <w:sz w:val="28"/>
          <w:szCs w:val="28"/>
        </w:rPr>
        <w:t>坪較</w:t>
      </w:r>
      <w:r w:rsidRPr="0067510F">
        <w:rPr>
          <w:rFonts w:ascii="標楷體" w:eastAsia="標楷體" w:hAnsi="標楷體" w:hint="eastAsia"/>
          <w:sz w:val="28"/>
          <w:szCs w:val="28"/>
        </w:rPr>
        <w:t>前</w:t>
      </w:r>
      <w:proofErr w:type="gramEnd"/>
      <w:r w:rsidRPr="0067510F">
        <w:rPr>
          <w:rFonts w:ascii="標楷體" w:eastAsia="標楷體" w:hAnsi="標楷體" w:hint="eastAsia"/>
          <w:sz w:val="28"/>
          <w:szCs w:val="28"/>
        </w:rPr>
        <w:t>月</w:t>
      </w:r>
      <w:r w:rsidR="00D21D7E">
        <w:rPr>
          <w:rFonts w:ascii="標楷體" w:eastAsia="標楷體" w:hAnsi="標楷體" w:hint="eastAsia"/>
          <w:sz w:val="28"/>
          <w:szCs w:val="28"/>
        </w:rPr>
        <w:t>(28.60</w:t>
      </w:r>
      <w:r w:rsidRPr="0067510F">
        <w:rPr>
          <w:rFonts w:ascii="標楷體" w:eastAsia="標楷體" w:hAnsi="標楷體" w:hint="eastAsia"/>
          <w:sz w:val="28"/>
          <w:szCs w:val="28"/>
        </w:rPr>
        <w:t>坪)</w:t>
      </w:r>
      <w:r w:rsidR="00D21D7E">
        <w:rPr>
          <w:rFonts w:ascii="標楷體" w:eastAsia="標楷體" w:hAnsi="標楷體" w:hint="eastAsia"/>
          <w:sz w:val="28"/>
          <w:szCs w:val="28"/>
        </w:rPr>
        <w:t>及105</w:t>
      </w:r>
      <w:r w:rsidRPr="0067510F">
        <w:rPr>
          <w:rFonts w:ascii="標楷體" w:eastAsia="標楷體" w:hAnsi="標楷體" w:hint="eastAsia"/>
          <w:sz w:val="28"/>
          <w:szCs w:val="28"/>
        </w:rPr>
        <w:t>年</w:t>
      </w:r>
      <w:r w:rsidR="00D21D7E">
        <w:rPr>
          <w:rFonts w:ascii="標楷體" w:eastAsia="標楷體" w:hAnsi="標楷體" w:hint="eastAsia"/>
          <w:sz w:val="28"/>
          <w:szCs w:val="28"/>
        </w:rPr>
        <w:t>1</w:t>
      </w:r>
      <w:r w:rsidRPr="0067510F">
        <w:rPr>
          <w:rFonts w:ascii="標楷體" w:eastAsia="標楷體" w:hAnsi="標楷體" w:hint="eastAsia"/>
          <w:sz w:val="28"/>
          <w:szCs w:val="28"/>
        </w:rPr>
        <w:t>月</w:t>
      </w:r>
      <w:r w:rsidR="00D21D7E">
        <w:rPr>
          <w:rFonts w:ascii="標楷體" w:eastAsia="標楷體" w:hAnsi="標楷體" w:hint="eastAsia"/>
          <w:sz w:val="28"/>
          <w:szCs w:val="28"/>
        </w:rPr>
        <w:t>(28.35</w:t>
      </w:r>
      <w:r w:rsidRPr="0067510F">
        <w:rPr>
          <w:rFonts w:ascii="標楷體" w:eastAsia="標楷體" w:hAnsi="標楷體" w:hint="eastAsia"/>
          <w:sz w:val="28"/>
          <w:szCs w:val="28"/>
        </w:rPr>
        <w:t>坪)</w:t>
      </w:r>
      <w:r w:rsidR="00F018CB" w:rsidRPr="0067510F">
        <w:rPr>
          <w:rFonts w:ascii="標楷體" w:eastAsia="標楷體" w:hAnsi="標楷體" w:hint="eastAsia"/>
          <w:sz w:val="28"/>
          <w:szCs w:val="28"/>
        </w:rPr>
        <w:t>相較</w:t>
      </w:r>
      <w:r w:rsidR="00D21D7E">
        <w:rPr>
          <w:rFonts w:ascii="標楷體" w:eastAsia="標楷體" w:hAnsi="標楷體" w:hint="eastAsia"/>
          <w:sz w:val="28"/>
          <w:szCs w:val="28"/>
        </w:rPr>
        <w:t>分別</w:t>
      </w:r>
      <w:r w:rsidR="00F018CB" w:rsidRPr="0067510F">
        <w:rPr>
          <w:rFonts w:ascii="標楷體" w:eastAsia="標楷體" w:hAnsi="標楷體" w:hint="eastAsia"/>
          <w:sz w:val="28"/>
          <w:szCs w:val="28"/>
        </w:rPr>
        <w:t>減少</w:t>
      </w:r>
      <w:r w:rsidR="00D21D7E">
        <w:rPr>
          <w:rFonts w:ascii="標楷體" w:eastAsia="標楷體" w:hAnsi="標楷體" w:hint="eastAsia"/>
          <w:sz w:val="28"/>
          <w:szCs w:val="28"/>
        </w:rPr>
        <w:t>1.13</w:t>
      </w:r>
      <w:r w:rsidR="00F018CB" w:rsidRPr="0067510F">
        <w:rPr>
          <w:rFonts w:ascii="標楷體" w:eastAsia="標楷體" w:hAnsi="標楷體" w:hint="eastAsia"/>
          <w:sz w:val="28"/>
          <w:szCs w:val="28"/>
        </w:rPr>
        <w:t>坪</w:t>
      </w:r>
      <w:r w:rsidR="00D21D7E">
        <w:rPr>
          <w:rFonts w:ascii="標楷體" w:eastAsia="標楷體" w:hAnsi="標楷體" w:hint="eastAsia"/>
          <w:sz w:val="28"/>
          <w:szCs w:val="28"/>
        </w:rPr>
        <w:t>、0.88坪</w:t>
      </w:r>
      <w:r w:rsidRPr="0067510F">
        <w:rPr>
          <w:rFonts w:ascii="標楷體" w:eastAsia="標楷體" w:hAnsi="標楷體" w:hint="eastAsia"/>
          <w:sz w:val="28"/>
          <w:szCs w:val="28"/>
        </w:rPr>
        <w:t>。</w:t>
      </w:r>
    </w:p>
    <w:p w:rsidR="004D2F9E" w:rsidRDefault="00214631" w:rsidP="00896246">
      <w:pPr>
        <w:widowControl/>
        <w:ind w:rightChars="96" w:right="23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189230</wp:posOffset>
                </wp:positionV>
                <wp:extent cx="885825" cy="320040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C00D6F" w:rsidRDefault="00E02A61" w:rsidP="001137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0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C00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坪</w:t>
                            </w:r>
                            <w:r w:rsidRPr="00C00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8.55pt;margin-top:14.9pt;width:69.7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" filled="f" stroked="f">
                <v:textbox style="mso-fit-shape-to-text:t">
                  <w:txbxContent>
                    <w:p w:rsidR="00E02A61" w:rsidRPr="00C00D6F" w:rsidRDefault="00E02A61" w:rsidP="001137F8">
                      <w:pPr>
                        <w:rPr>
                          <w:sz w:val="20"/>
                          <w:szCs w:val="20"/>
                        </w:rPr>
                      </w:pPr>
                      <w:r w:rsidRPr="00C00D6F"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C00D6F">
                        <w:rPr>
                          <w:rFonts w:hint="eastAsia"/>
                          <w:sz w:val="20"/>
                          <w:szCs w:val="20"/>
                        </w:rPr>
                        <w:t>坪</w:t>
                      </w:r>
                      <w:r w:rsidRPr="00C00D6F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428F">
        <w:rPr>
          <w:rFonts w:ascii="微軟正黑體" w:eastAsia="微軟正黑體" w:hAnsi="微軟正黑體"/>
          <w:b/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134620</wp:posOffset>
            </wp:positionV>
            <wp:extent cx="5267325" cy="2393950"/>
            <wp:effectExtent l="0" t="0" r="9525" b="25400"/>
            <wp:wrapNone/>
            <wp:docPr id="25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F4428F" w:rsidRDefault="00F4428F" w:rsidP="00214631">
      <w:pPr>
        <w:spacing w:beforeLines="30" w:before="108"/>
        <w:ind w:rightChars="96" w:right="230"/>
        <w:rPr>
          <w:rFonts w:ascii="標楷體" w:eastAsia="標楷體" w:hAnsi="標楷體"/>
          <w:b/>
          <w:sz w:val="32"/>
          <w:szCs w:val="32"/>
        </w:rPr>
      </w:pPr>
    </w:p>
    <w:p w:rsidR="00F4428F" w:rsidRDefault="00F4428F" w:rsidP="00214631">
      <w:pPr>
        <w:spacing w:beforeLines="30" w:before="108"/>
        <w:ind w:rightChars="96" w:right="230"/>
        <w:rPr>
          <w:rFonts w:ascii="標楷體" w:eastAsia="標楷體" w:hAnsi="標楷體"/>
          <w:b/>
          <w:sz w:val="32"/>
          <w:szCs w:val="32"/>
        </w:rPr>
      </w:pPr>
    </w:p>
    <w:p w:rsidR="00F4428F" w:rsidRDefault="00F4428F" w:rsidP="00214631">
      <w:pPr>
        <w:spacing w:beforeLines="30" w:before="108"/>
        <w:ind w:rightChars="96" w:right="230"/>
        <w:rPr>
          <w:rFonts w:ascii="標楷體" w:eastAsia="標楷體" w:hAnsi="標楷體"/>
          <w:b/>
          <w:sz w:val="32"/>
          <w:szCs w:val="32"/>
        </w:rPr>
      </w:pPr>
    </w:p>
    <w:p w:rsidR="00F4428F" w:rsidRDefault="00F4428F" w:rsidP="00214631">
      <w:pPr>
        <w:spacing w:beforeLines="30" w:before="108"/>
        <w:ind w:rightChars="96" w:right="230"/>
        <w:rPr>
          <w:rFonts w:ascii="標楷體" w:eastAsia="標楷體" w:hAnsi="標楷體"/>
          <w:b/>
          <w:sz w:val="32"/>
          <w:szCs w:val="32"/>
        </w:rPr>
      </w:pPr>
    </w:p>
    <w:p w:rsidR="00F4428F" w:rsidRDefault="00214631" w:rsidP="00F4428F">
      <w:pPr>
        <w:spacing w:line="400" w:lineRule="exact"/>
        <w:ind w:rightChars="37" w:right="89" w:firstLineChars="150" w:firstLine="3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2066925</wp:posOffset>
                </wp:positionH>
                <wp:positionV relativeFrom="paragraph">
                  <wp:posOffset>32385</wp:posOffset>
                </wp:positionV>
                <wp:extent cx="3324225" cy="320040"/>
                <wp:effectExtent l="0" t="0" r="0" b="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DB62B1" w:rsidRDefault="00E02A61" w:rsidP="00D56C8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</w:t>
                            </w:r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、近一年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住宅市場平均交易面積走勢圖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2.75pt;margin-top:2.55pt;width:261.75pt;height:25.2pt;z-index:25168896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" filled="f" stroked="f">
                <v:textbox style="mso-fit-shape-to-text:t">
                  <w:txbxContent>
                    <w:p w:rsidR="00E02A61" w:rsidRPr="00DB62B1" w:rsidRDefault="00E02A61" w:rsidP="00D56C84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</w:t>
                      </w:r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、近一年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住宅市場平均交易面積走勢圖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428F" w:rsidRDefault="00F4428F" w:rsidP="00F4428F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</w:p>
    <w:p w:rsidR="009039DB" w:rsidRDefault="009039DB" w:rsidP="00F4428F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</w:p>
    <w:p w:rsidR="004D2F9E" w:rsidRPr="00F4428F" w:rsidRDefault="004D2F9E" w:rsidP="00214631">
      <w:pPr>
        <w:pStyle w:val="a3"/>
        <w:numPr>
          <w:ilvl w:val="0"/>
          <w:numId w:val="1"/>
        </w:numPr>
        <w:spacing w:beforeLines="30" w:before="108"/>
        <w:ind w:leftChars="0" w:left="476" w:rightChars="96" w:right="230" w:hanging="482"/>
        <w:rPr>
          <w:rFonts w:ascii="標楷體" w:eastAsia="標楷體" w:hAnsi="標楷體"/>
          <w:b/>
          <w:sz w:val="32"/>
          <w:szCs w:val="32"/>
        </w:rPr>
      </w:pPr>
      <w:r w:rsidRPr="00F4428F">
        <w:rPr>
          <w:rFonts w:ascii="標楷體" w:eastAsia="標楷體" w:hAnsi="標楷體" w:hint="eastAsia"/>
          <w:b/>
          <w:sz w:val="32"/>
          <w:szCs w:val="32"/>
        </w:rPr>
        <w:t>重點都會區住宅市場分析</w:t>
      </w:r>
    </w:p>
    <w:p w:rsidR="00F4428F" w:rsidRPr="009E3745" w:rsidRDefault="009E3745" w:rsidP="003E74D4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</w:t>
      </w:r>
      <w:r w:rsidR="00D90BB8">
        <w:rPr>
          <w:rFonts w:ascii="標楷體" w:eastAsia="標楷體" w:hAnsi="標楷體" w:hint="eastAsia"/>
          <w:sz w:val="28"/>
          <w:szCs w:val="28"/>
        </w:rPr>
        <w:t>量各行政區</w:t>
      </w:r>
      <w:r w:rsidR="00A72CC1">
        <w:rPr>
          <w:rFonts w:ascii="標楷體" w:eastAsia="標楷體" w:hAnsi="標楷體" w:hint="eastAsia"/>
          <w:sz w:val="28"/>
          <w:szCs w:val="28"/>
        </w:rPr>
        <w:t>成交</w:t>
      </w:r>
      <w:r w:rsidR="00D90BB8" w:rsidRPr="00DF1671">
        <w:rPr>
          <w:rFonts w:ascii="標楷體" w:eastAsia="標楷體" w:hAnsi="標楷體" w:hint="eastAsia"/>
          <w:sz w:val="28"/>
          <w:szCs w:val="28"/>
        </w:rPr>
        <w:t>規模</w:t>
      </w:r>
      <w:r w:rsidR="00A72CC1">
        <w:rPr>
          <w:rFonts w:ascii="標楷體" w:eastAsia="標楷體" w:hAnsi="標楷體" w:hint="eastAsia"/>
          <w:sz w:val="28"/>
          <w:szCs w:val="28"/>
        </w:rPr>
        <w:t>表現</w:t>
      </w:r>
      <w:r w:rsidR="00D90BB8" w:rsidRPr="00DF1671">
        <w:rPr>
          <w:rFonts w:ascii="標楷體" w:eastAsia="標楷體" w:hAnsi="標楷體" w:hint="eastAsia"/>
          <w:sz w:val="28"/>
          <w:szCs w:val="28"/>
        </w:rPr>
        <w:t>及</w:t>
      </w:r>
      <w:r w:rsidR="00A72CC1">
        <w:rPr>
          <w:rFonts w:ascii="標楷體" w:eastAsia="標楷體" w:hAnsi="標楷體" w:hint="eastAsia"/>
          <w:sz w:val="28"/>
          <w:szCs w:val="28"/>
        </w:rPr>
        <w:t>為分析特定</w:t>
      </w:r>
      <w:r w:rsidR="00A72CC1" w:rsidRPr="00DF1671">
        <w:rPr>
          <w:rFonts w:ascii="標楷體" w:eastAsia="標楷體" w:hAnsi="標楷體" w:hint="eastAsia"/>
          <w:sz w:val="28"/>
          <w:szCs w:val="28"/>
        </w:rPr>
        <w:t>型態建物</w:t>
      </w:r>
      <w:proofErr w:type="gramStart"/>
      <w:r w:rsidR="00A72CC1" w:rsidRPr="00DF1671">
        <w:rPr>
          <w:rFonts w:ascii="標楷體" w:eastAsia="標楷體" w:hAnsi="標楷體" w:hint="eastAsia"/>
          <w:sz w:val="28"/>
          <w:szCs w:val="28"/>
        </w:rPr>
        <w:t>均價</w:t>
      </w:r>
      <w:r w:rsidR="00D90BB8">
        <w:rPr>
          <w:rFonts w:ascii="標楷體" w:eastAsia="標楷體" w:hAnsi="標楷體" w:hint="eastAsia"/>
          <w:sz w:val="28"/>
          <w:szCs w:val="28"/>
        </w:rPr>
        <w:t>，</w:t>
      </w:r>
      <w:r w:rsidR="00DF1671">
        <w:rPr>
          <w:rFonts w:ascii="標楷體" w:eastAsia="標楷體" w:hAnsi="標楷體" w:hint="eastAsia"/>
          <w:sz w:val="28"/>
          <w:szCs w:val="28"/>
        </w:rPr>
        <w:t>故</w:t>
      </w:r>
      <w:r w:rsidR="00A72CC1">
        <w:rPr>
          <w:rFonts w:ascii="標楷體" w:eastAsia="標楷體" w:hAnsi="標楷體" w:hint="eastAsia"/>
          <w:sz w:val="28"/>
          <w:szCs w:val="28"/>
        </w:rPr>
        <w:t>擇</w:t>
      </w:r>
      <w:proofErr w:type="gramEnd"/>
      <w:r w:rsidR="00A72CC1">
        <w:rPr>
          <w:rFonts w:ascii="標楷體" w:eastAsia="標楷體" w:hAnsi="標楷體" w:hint="eastAsia"/>
          <w:sz w:val="28"/>
          <w:szCs w:val="28"/>
        </w:rPr>
        <w:t>定</w:t>
      </w:r>
      <w:r w:rsidR="008B30A2" w:rsidRPr="00F4428F">
        <w:rPr>
          <w:rFonts w:ascii="標楷體" w:eastAsia="標楷體" w:hAnsi="標楷體" w:hint="eastAsia"/>
          <w:sz w:val="28"/>
          <w:szCs w:val="28"/>
        </w:rPr>
        <w:t>八德、中壢、平鎮、桃園、龜山與蘆竹區</w:t>
      </w:r>
      <w:r w:rsidR="00A72CC1">
        <w:rPr>
          <w:rFonts w:ascii="標楷體" w:eastAsia="標楷體" w:hAnsi="標楷體" w:hint="eastAsia"/>
          <w:sz w:val="28"/>
          <w:szCs w:val="28"/>
        </w:rPr>
        <w:t>作為</w:t>
      </w:r>
      <w:r w:rsidR="008B30A2" w:rsidRPr="00F4428F">
        <w:rPr>
          <w:rFonts w:ascii="標楷體" w:eastAsia="標楷體" w:hAnsi="標楷體" w:hint="eastAsia"/>
          <w:sz w:val="28"/>
          <w:szCs w:val="28"/>
        </w:rPr>
        <w:t>分析桃園市重點都會區</w:t>
      </w:r>
      <w:r w:rsidR="008B30A2" w:rsidRPr="00F4428F">
        <w:rPr>
          <w:rFonts w:ascii="標楷體" w:eastAsia="標楷體" w:hAnsi="標楷體" w:hint="eastAsia"/>
          <w:b/>
          <w:sz w:val="28"/>
          <w:szCs w:val="28"/>
        </w:rPr>
        <w:t>住宅</w:t>
      </w:r>
      <w:r w:rsidR="00707E1A" w:rsidRPr="00F4428F">
        <w:rPr>
          <w:rFonts w:ascii="標楷體" w:eastAsia="標楷體" w:hAnsi="標楷體" w:hint="eastAsia"/>
          <w:b/>
          <w:sz w:val="28"/>
          <w:szCs w:val="28"/>
        </w:rPr>
        <w:t>平均成交單</w:t>
      </w:r>
      <w:r w:rsidR="008B30A2" w:rsidRPr="00F4428F">
        <w:rPr>
          <w:rFonts w:ascii="標楷體" w:eastAsia="標楷體" w:hAnsi="標楷體" w:hint="eastAsia"/>
          <w:b/>
          <w:sz w:val="28"/>
          <w:szCs w:val="28"/>
        </w:rPr>
        <w:t>價</w:t>
      </w:r>
      <w:r>
        <w:rPr>
          <w:rFonts w:ascii="標楷體" w:eastAsia="標楷體" w:hAnsi="標楷體" w:hint="eastAsia"/>
          <w:sz w:val="28"/>
          <w:szCs w:val="28"/>
        </w:rPr>
        <w:t>。前述行政區106</w:t>
      </w:r>
      <w:r w:rsidRPr="00F4428F">
        <w:rPr>
          <w:rFonts w:ascii="標楷體" w:eastAsia="標楷體" w:hAnsi="標楷體" w:hint="eastAsia"/>
          <w:sz w:val="28"/>
          <w:szCs w:val="28"/>
        </w:rPr>
        <w:t>年1月住宅成交單價</w:t>
      </w:r>
      <w:r w:rsidR="003E115A">
        <w:rPr>
          <w:rFonts w:ascii="標楷體" w:eastAsia="標楷體" w:hAnsi="標楷體" w:hint="eastAsia"/>
          <w:sz w:val="28"/>
          <w:szCs w:val="28"/>
        </w:rPr>
        <w:t>與105年12</w:t>
      </w:r>
      <w:r w:rsidRPr="00F4428F">
        <w:rPr>
          <w:rFonts w:ascii="標楷體" w:eastAsia="標楷體" w:hAnsi="標楷體" w:hint="eastAsia"/>
          <w:sz w:val="28"/>
          <w:szCs w:val="28"/>
        </w:rPr>
        <w:t>月相較呈現漲跌互見走勢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F63CB5">
        <w:rPr>
          <w:rFonts w:ascii="標楷體" w:eastAsia="標楷體" w:hAnsi="標楷體" w:hint="eastAsia"/>
          <w:sz w:val="28"/>
          <w:szCs w:val="28"/>
        </w:rPr>
        <w:t>其中漲</w:t>
      </w:r>
      <w:proofErr w:type="gramEnd"/>
      <w:r w:rsidRPr="00F63CB5">
        <w:rPr>
          <w:rFonts w:ascii="標楷體" w:eastAsia="標楷體" w:hAnsi="標楷體" w:hint="eastAsia"/>
          <w:sz w:val="28"/>
          <w:szCs w:val="28"/>
        </w:rPr>
        <w:t>跌幅度最</w:t>
      </w:r>
      <w:r>
        <w:rPr>
          <w:rFonts w:ascii="標楷體" w:eastAsia="標楷體" w:hAnsi="標楷體" w:hint="eastAsia"/>
          <w:sz w:val="28"/>
          <w:szCs w:val="28"/>
        </w:rPr>
        <w:t>大</w:t>
      </w:r>
      <w:r w:rsidRPr="00F63CB5">
        <w:rPr>
          <w:rFonts w:ascii="標楷體" w:eastAsia="標楷體" w:hAnsi="標楷體" w:hint="eastAsia"/>
          <w:sz w:val="28"/>
          <w:szCs w:val="28"/>
        </w:rPr>
        <w:t>者分別為蘆竹區上漲1.5萬元/坪及龜山區下跌約1.7萬元/坪，各行政區漲跌情形主要還是受</w:t>
      </w:r>
      <w:r w:rsidR="008C246B">
        <w:rPr>
          <w:rFonts w:ascii="標楷體" w:eastAsia="標楷體" w:hAnsi="標楷體" w:hint="eastAsia"/>
          <w:sz w:val="28"/>
          <w:szCs w:val="28"/>
        </w:rPr>
        <w:t>到</w:t>
      </w:r>
      <w:r w:rsidRPr="00F63CB5">
        <w:rPr>
          <w:rFonts w:ascii="標楷體" w:eastAsia="標楷體" w:hAnsi="標楷體" w:hint="eastAsia"/>
          <w:sz w:val="28"/>
          <w:szCs w:val="28"/>
        </w:rPr>
        <w:t>交易區位差異，</w:t>
      </w:r>
      <w:r>
        <w:rPr>
          <w:rFonts w:ascii="標楷體" w:eastAsia="標楷體" w:hAnsi="標楷體" w:hint="eastAsia"/>
          <w:sz w:val="28"/>
          <w:szCs w:val="28"/>
        </w:rPr>
        <w:t>使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本月</w:t>
      </w:r>
      <w:r w:rsidRPr="00F63CB5">
        <w:rPr>
          <w:rFonts w:ascii="標楷體" w:eastAsia="標楷體" w:hAnsi="標楷體" w:hint="eastAsia"/>
          <w:sz w:val="28"/>
          <w:szCs w:val="28"/>
        </w:rPr>
        <w:t>均價有</w:t>
      </w:r>
      <w:proofErr w:type="gramEnd"/>
      <w:r w:rsidRPr="00F63CB5">
        <w:rPr>
          <w:rFonts w:ascii="標楷體" w:eastAsia="標楷體" w:hAnsi="標楷體" w:hint="eastAsia"/>
          <w:sz w:val="28"/>
          <w:szCs w:val="28"/>
        </w:rPr>
        <w:t>波動</w:t>
      </w:r>
      <w:r>
        <w:rPr>
          <w:rFonts w:ascii="標楷體" w:eastAsia="標楷體" w:hAnsi="標楷體" w:hint="eastAsia"/>
          <w:sz w:val="28"/>
          <w:szCs w:val="28"/>
        </w:rPr>
        <w:t>情形</w:t>
      </w:r>
      <w:r w:rsidRPr="00F63CB5">
        <w:rPr>
          <w:rFonts w:ascii="標楷體" w:eastAsia="標楷體" w:hAnsi="標楷體" w:hint="eastAsia"/>
          <w:sz w:val="28"/>
          <w:szCs w:val="28"/>
        </w:rPr>
        <w:t>，但差異</w:t>
      </w:r>
      <w:r>
        <w:rPr>
          <w:rFonts w:ascii="標楷體" w:eastAsia="標楷體" w:hAnsi="標楷體" w:hint="eastAsia"/>
          <w:sz w:val="28"/>
          <w:szCs w:val="28"/>
        </w:rPr>
        <w:t>皆在一成以內</w:t>
      </w:r>
      <w:r w:rsidRPr="00F63CB5">
        <w:rPr>
          <w:rFonts w:ascii="標楷體" w:eastAsia="標楷體" w:hAnsi="標楷體" w:hint="eastAsia"/>
          <w:sz w:val="28"/>
          <w:szCs w:val="28"/>
        </w:rPr>
        <w:t>。</w:t>
      </w:r>
    </w:p>
    <w:p w:rsidR="003D13E3" w:rsidRDefault="006746C5" w:rsidP="00F4428F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F4428F">
        <w:rPr>
          <w:rFonts w:ascii="標楷體" w:eastAsia="標楷體" w:hAnsi="標楷體" w:hint="eastAsia"/>
          <w:sz w:val="28"/>
          <w:szCs w:val="28"/>
        </w:rPr>
        <w:t>住宅成交平均單價</w:t>
      </w:r>
      <w:r w:rsidR="002C68EB" w:rsidRPr="00F4428F">
        <w:rPr>
          <w:rFonts w:ascii="標楷體" w:eastAsia="標楷體" w:hAnsi="標楷體" w:hint="eastAsia"/>
          <w:sz w:val="28"/>
          <w:szCs w:val="28"/>
        </w:rPr>
        <w:t>本月</w:t>
      </w:r>
      <w:r w:rsidRPr="00F4428F">
        <w:rPr>
          <w:rFonts w:ascii="標楷體" w:eastAsia="標楷體" w:hAnsi="標楷體" w:hint="eastAsia"/>
          <w:sz w:val="28"/>
          <w:szCs w:val="28"/>
        </w:rPr>
        <w:t>前三名之行政區</w:t>
      </w:r>
      <w:r w:rsidR="00E35BBB" w:rsidRPr="00F4428F">
        <w:rPr>
          <w:rFonts w:ascii="標楷體" w:eastAsia="標楷體" w:hAnsi="標楷體" w:hint="eastAsia"/>
          <w:sz w:val="28"/>
          <w:szCs w:val="28"/>
        </w:rPr>
        <w:t>分別</w:t>
      </w:r>
      <w:r w:rsidR="001A5C70" w:rsidRPr="00F4428F">
        <w:rPr>
          <w:rFonts w:ascii="標楷體" w:eastAsia="標楷體" w:hAnsi="標楷體" w:hint="eastAsia"/>
          <w:sz w:val="28"/>
          <w:szCs w:val="28"/>
        </w:rPr>
        <w:t>為</w:t>
      </w:r>
      <w:r w:rsidR="006E1D04">
        <w:rPr>
          <w:rFonts w:ascii="標楷體" w:eastAsia="標楷體" w:hAnsi="標楷體" w:hint="eastAsia"/>
          <w:sz w:val="28"/>
          <w:szCs w:val="28"/>
        </w:rPr>
        <w:t>桃園</w:t>
      </w:r>
      <w:r w:rsidR="00717937" w:rsidRPr="00F4428F">
        <w:rPr>
          <w:rFonts w:ascii="標楷體" w:eastAsia="標楷體" w:hAnsi="標楷體" w:hint="eastAsia"/>
          <w:sz w:val="28"/>
          <w:szCs w:val="28"/>
        </w:rPr>
        <w:t>區</w:t>
      </w:r>
      <w:r w:rsidR="00F4428F" w:rsidRPr="00F4428F">
        <w:rPr>
          <w:rFonts w:ascii="標楷體" w:eastAsia="標楷體" w:hAnsi="標楷體" w:hint="eastAsia"/>
          <w:sz w:val="28"/>
          <w:szCs w:val="28"/>
        </w:rPr>
        <w:t>(</w:t>
      </w:r>
      <w:r w:rsidR="00E02A61">
        <w:rPr>
          <w:rFonts w:ascii="標楷體" w:eastAsia="標楷體" w:hAnsi="標楷體" w:hint="eastAsia"/>
          <w:sz w:val="28"/>
          <w:szCs w:val="28"/>
        </w:rPr>
        <w:t>21.18</w:t>
      </w:r>
      <w:r w:rsidR="002D1985" w:rsidRPr="00F4428F">
        <w:rPr>
          <w:rFonts w:ascii="標楷體" w:eastAsia="標楷體" w:hAnsi="標楷體" w:hint="eastAsia"/>
          <w:sz w:val="28"/>
          <w:szCs w:val="28"/>
        </w:rPr>
        <w:t>萬元/坪</w:t>
      </w:r>
      <w:r w:rsidR="00F4428F" w:rsidRPr="00F4428F">
        <w:rPr>
          <w:rFonts w:ascii="標楷體" w:eastAsia="標楷體" w:hAnsi="標楷體" w:hint="eastAsia"/>
          <w:sz w:val="28"/>
          <w:szCs w:val="28"/>
        </w:rPr>
        <w:t>)</w:t>
      </w:r>
      <w:r w:rsidR="006E1D04">
        <w:rPr>
          <w:rFonts w:ascii="標楷體" w:eastAsia="標楷體" w:hAnsi="標楷體" w:hint="eastAsia"/>
          <w:sz w:val="28"/>
          <w:szCs w:val="28"/>
        </w:rPr>
        <w:t>為最高，其次為蘆竹</w:t>
      </w:r>
      <w:r w:rsidR="002D1985" w:rsidRPr="00F4428F">
        <w:rPr>
          <w:rFonts w:ascii="標楷體" w:eastAsia="標楷體" w:hAnsi="標楷體" w:hint="eastAsia"/>
          <w:sz w:val="28"/>
          <w:szCs w:val="28"/>
        </w:rPr>
        <w:t>區</w:t>
      </w:r>
      <w:r w:rsidR="00F4428F" w:rsidRPr="00F4428F">
        <w:rPr>
          <w:rFonts w:ascii="標楷體" w:eastAsia="標楷體" w:hAnsi="標楷體" w:hint="eastAsia"/>
          <w:sz w:val="28"/>
          <w:szCs w:val="28"/>
        </w:rPr>
        <w:t>(</w:t>
      </w:r>
      <w:r w:rsidR="00E02A61">
        <w:rPr>
          <w:rFonts w:ascii="標楷體" w:eastAsia="標楷體" w:hAnsi="標楷體" w:hint="eastAsia"/>
          <w:sz w:val="28"/>
          <w:szCs w:val="28"/>
        </w:rPr>
        <w:t>20.68</w:t>
      </w:r>
      <w:r w:rsidR="002D1985" w:rsidRPr="00F4428F">
        <w:rPr>
          <w:rFonts w:ascii="標楷體" w:eastAsia="標楷體" w:hAnsi="標楷體" w:hint="eastAsia"/>
          <w:sz w:val="28"/>
          <w:szCs w:val="28"/>
        </w:rPr>
        <w:t>萬元/</w:t>
      </w:r>
      <w:r w:rsidR="00717937" w:rsidRPr="00F4428F">
        <w:rPr>
          <w:rFonts w:ascii="標楷體" w:eastAsia="標楷體" w:hAnsi="標楷體" w:hint="eastAsia"/>
          <w:sz w:val="28"/>
          <w:szCs w:val="28"/>
        </w:rPr>
        <w:t>坪</w:t>
      </w:r>
      <w:r w:rsidR="00F4428F" w:rsidRPr="00F4428F">
        <w:rPr>
          <w:rFonts w:ascii="標楷體" w:eastAsia="標楷體" w:hAnsi="標楷體" w:hint="eastAsia"/>
          <w:sz w:val="28"/>
          <w:szCs w:val="28"/>
        </w:rPr>
        <w:t>)</w:t>
      </w:r>
      <w:r w:rsidR="006E1D04">
        <w:rPr>
          <w:rFonts w:ascii="標楷體" w:eastAsia="標楷體" w:hAnsi="標楷體" w:hint="eastAsia"/>
          <w:sz w:val="28"/>
          <w:szCs w:val="28"/>
        </w:rPr>
        <w:t>及中壢</w:t>
      </w:r>
      <w:r w:rsidR="004F0B0E" w:rsidRPr="00F4428F">
        <w:rPr>
          <w:rFonts w:ascii="標楷體" w:eastAsia="標楷體" w:hAnsi="標楷體" w:hint="eastAsia"/>
          <w:sz w:val="28"/>
          <w:szCs w:val="28"/>
        </w:rPr>
        <w:t>區</w:t>
      </w:r>
      <w:r w:rsidR="00F4428F" w:rsidRPr="00F4428F">
        <w:rPr>
          <w:rFonts w:ascii="標楷體" w:eastAsia="標楷體" w:hAnsi="標楷體" w:hint="eastAsia"/>
          <w:sz w:val="28"/>
          <w:szCs w:val="28"/>
        </w:rPr>
        <w:t>(</w:t>
      </w:r>
      <w:r w:rsidR="00BC5258">
        <w:rPr>
          <w:rFonts w:ascii="標楷體" w:eastAsia="標楷體" w:hAnsi="標楷體" w:hint="eastAsia"/>
          <w:sz w:val="28"/>
          <w:szCs w:val="28"/>
        </w:rPr>
        <w:t>18.79</w:t>
      </w:r>
      <w:r w:rsidR="002D1985" w:rsidRPr="00F4428F">
        <w:rPr>
          <w:rFonts w:ascii="標楷體" w:eastAsia="標楷體" w:hAnsi="標楷體" w:hint="eastAsia"/>
          <w:sz w:val="28"/>
          <w:szCs w:val="28"/>
        </w:rPr>
        <w:t>萬元/坪</w:t>
      </w:r>
      <w:r w:rsidR="00F4428F" w:rsidRPr="00F4428F">
        <w:rPr>
          <w:rFonts w:ascii="標楷體" w:eastAsia="標楷體" w:hAnsi="標楷體" w:hint="eastAsia"/>
          <w:sz w:val="28"/>
          <w:szCs w:val="28"/>
        </w:rPr>
        <w:t>)</w:t>
      </w:r>
      <w:r w:rsidR="008B30A2" w:rsidRPr="00F4428F">
        <w:rPr>
          <w:rFonts w:ascii="標楷體" w:eastAsia="標楷體" w:hAnsi="標楷體" w:hint="eastAsia"/>
          <w:sz w:val="28"/>
          <w:szCs w:val="28"/>
        </w:rPr>
        <w:t>。</w:t>
      </w:r>
    </w:p>
    <w:p w:rsidR="00F4428F" w:rsidRPr="006E1D04" w:rsidRDefault="00F4428F" w:rsidP="00F4428F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</w:p>
    <w:p w:rsidR="00F4428F" w:rsidRDefault="00F4428F" w:rsidP="00F4428F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</w:p>
    <w:p w:rsidR="00957FE6" w:rsidRDefault="00957FE6" w:rsidP="00F4428F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</w:p>
    <w:p w:rsidR="00F4428F" w:rsidRDefault="00F4428F" w:rsidP="00F4428F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</w:p>
    <w:p w:rsidR="00F4428F" w:rsidRDefault="00F4428F" w:rsidP="00F4428F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</w:p>
    <w:p w:rsidR="00F4428F" w:rsidRDefault="00F4428F" w:rsidP="00F4428F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</w:p>
    <w:p w:rsidR="000403FE" w:rsidRDefault="00214631" w:rsidP="00214631">
      <w:pPr>
        <w:pStyle w:val="a3"/>
        <w:tabs>
          <w:tab w:val="left" w:pos="567"/>
        </w:tabs>
        <w:spacing w:afterLines="30" w:after="108" w:line="400" w:lineRule="exact"/>
        <w:ind w:leftChars="0" w:left="425" w:rightChars="96" w:right="230" w:firstLineChars="195" w:firstLine="39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50800</wp:posOffset>
                </wp:positionV>
                <wp:extent cx="3324225" cy="320040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DB62B1" w:rsidRDefault="00E02A61" w:rsidP="000403FE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近一年各重點都會行政區住宅成交</w:t>
                            </w:r>
                            <w:r w:rsidRPr="00B3371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平均單價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統計表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1.5pt;margin-top:4pt;width:261.75pt;height:25.2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" filled="f" stroked="f">
                <v:textbox style="mso-fit-shape-to-text:t">
                  <w:txbxContent>
                    <w:p w:rsidR="00E02A61" w:rsidRPr="00DB62B1" w:rsidRDefault="00E02A61" w:rsidP="000403FE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表</w:t>
                      </w:r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近一年各重點都會行政區住宅成交</w:t>
                      </w:r>
                      <w:r w:rsidRPr="00B33712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  <w:szCs w:val="20"/>
                        </w:rPr>
                        <w:t>平均單價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統計表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36830</wp:posOffset>
                </wp:positionV>
                <wp:extent cx="1097280" cy="320040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Default="00E02A61">
                            <w:r w:rsidRPr="00DC082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單位：萬元/坪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38.4pt;margin-top:2.9pt;width:86.4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" filled="f" stroked="f">
                <v:textbox style="mso-fit-shape-to-text:t">
                  <w:txbxContent>
                    <w:p w:rsidR="00E02A61" w:rsidRDefault="00E02A61">
                      <w:r w:rsidRPr="00DC082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單位：萬元/坪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455"/>
        <w:gridCol w:w="1169"/>
        <w:gridCol w:w="1170"/>
        <w:gridCol w:w="1170"/>
        <w:gridCol w:w="1169"/>
        <w:gridCol w:w="1170"/>
        <w:gridCol w:w="1170"/>
      </w:tblGrid>
      <w:tr w:rsidR="00C940B1" w:rsidRPr="00F94F90" w:rsidTr="00B37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940B1" w:rsidRPr="00DE03CC" w:rsidRDefault="00C940B1" w:rsidP="00B37089">
            <w:pPr>
              <w:ind w:rightChars="96" w:right="230"/>
              <w:jc w:val="center"/>
              <w:rPr>
                <w:color w:val="000000" w:themeColor="text1"/>
                <w:szCs w:val="24"/>
              </w:rPr>
            </w:pPr>
            <w:r w:rsidRPr="00DE03CC">
              <w:rPr>
                <w:rFonts w:ascii="微軟正黑體" w:eastAsia="微軟正黑體" w:hAnsi="微軟正黑體"/>
                <w:color w:val="000000" w:themeColor="text1"/>
                <w:szCs w:val="24"/>
              </w:rPr>
              <w:br w:type="page"/>
            </w:r>
            <w:r w:rsidRPr="00DE03CC">
              <w:rPr>
                <w:rFonts w:hint="eastAsia"/>
                <w:color w:val="000000" w:themeColor="text1"/>
                <w:szCs w:val="24"/>
              </w:rPr>
              <w:t>年月</w:t>
            </w:r>
          </w:p>
        </w:tc>
        <w:tc>
          <w:tcPr>
            <w:tcW w:w="1169" w:type="dxa"/>
          </w:tcPr>
          <w:p w:rsidR="00C940B1" w:rsidRPr="008B30A2" w:rsidRDefault="00C940B1" w:rsidP="00B37089">
            <w:pPr>
              <w:ind w:rightChars="96" w:right="2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B30A2">
              <w:rPr>
                <w:rFonts w:hint="eastAsia"/>
                <w:color w:val="000000" w:themeColor="text1"/>
                <w:szCs w:val="24"/>
              </w:rPr>
              <w:t>八德區</w:t>
            </w:r>
          </w:p>
        </w:tc>
        <w:tc>
          <w:tcPr>
            <w:tcW w:w="1170" w:type="dxa"/>
          </w:tcPr>
          <w:p w:rsidR="00C940B1" w:rsidRPr="008B30A2" w:rsidRDefault="00C940B1" w:rsidP="00B37089">
            <w:pPr>
              <w:ind w:rightChars="96" w:right="2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B30A2">
              <w:rPr>
                <w:rFonts w:hint="eastAsia"/>
                <w:color w:val="000000" w:themeColor="text1"/>
                <w:szCs w:val="24"/>
              </w:rPr>
              <w:t>中壢區</w:t>
            </w:r>
          </w:p>
        </w:tc>
        <w:tc>
          <w:tcPr>
            <w:tcW w:w="1170" w:type="dxa"/>
          </w:tcPr>
          <w:p w:rsidR="00C940B1" w:rsidRPr="008B30A2" w:rsidRDefault="00C940B1" w:rsidP="00B37089">
            <w:pPr>
              <w:ind w:rightChars="96" w:right="2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B30A2">
              <w:rPr>
                <w:rFonts w:hint="eastAsia"/>
                <w:color w:val="000000" w:themeColor="text1"/>
                <w:szCs w:val="24"/>
              </w:rPr>
              <w:t>平鎮區</w:t>
            </w:r>
          </w:p>
        </w:tc>
        <w:tc>
          <w:tcPr>
            <w:tcW w:w="1169" w:type="dxa"/>
          </w:tcPr>
          <w:p w:rsidR="00C940B1" w:rsidRPr="008B30A2" w:rsidRDefault="00C940B1" w:rsidP="00B37089">
            <w:pPr>
              <w:ind w:rightChars="96" w:right="2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B30A2">
              <w:rPr>
                <w:rFonts w:hint="eastAsia"/>
                <w:color w:val="000000" w:themeColor="text1"/>
                <w:szCs w:val="24"/>
              </w:rPr>
              <w:t>桃園區</w:t>
            </w:r>
          </w:p>
        </w:tc>
        <w:tc>
          <w:tcPr>
            <w:tcW w:w="1170" w:type="dxa"/>
          </w:tcPr>
          <w:p w:rsidR="00C940B1" w:rsidRPr="008B30A2" w:rsidRDefault="00C940B1" w:rsidP="00B37089">
            <w:pPr>
              <w:ind w:rightChars="96" w:right="2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B30A2">
              <w:rPr>
                <w:rFonts w:hint="eastAsia"/>
                <w:color w:val="000000" w:themeColor="text1"/>
                <w:szCs w:val="24"/>
              </w:rPr>
              <w:t>龜山區</w:t>
            </w:r>
          </w:p>
        </w:tc>
        <w:tc>
          <w:tcPr>
            <w:tcW w:w="1170" w:type="dxa"/>
          </w:tcPr>
          <w:p w:rsidR="00C940B1" w:rsidRPr="008B30A2" w:rsidRDefault="00C940B1" w:rsidP="00B37089">
            <w:pPr>
              <w:ind w:rightChars="96" w:right="2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B30A2">
              <w:rPr>
                <w:rFonts w:hint="eastAsia"/>
                <w:color w:val="000000" w:themeColor="text1"/>
                <w:szCs w:val="24"/>
              </w:rPr>
              <w:t>蘆竹區</w:t>
            </w:r>
          </w:p>
        </w:tc>
      </w:tr>
      <w:tr w:rsidR="00A06AA5" w:rsidRPr="00A54C4F" w:rsidTr="00E0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FBD4B4" w:themeFill="accent6" w:themeFillTint="66"/>
          </w:tcPr>
          <w:p w:rsidR="00A06AA5" w:rsidRPr="00B05244" w:rsidRDefault="00A06AA5" w:rsidP="00B37089">
            <w:pPr>
              <w:ind w:rightChars="96" w:right="23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10</w:t>
            </w:r>
            <w:r w:rsidR="00AB4D07">
              <w:rPr>
                <w:rFonts w:ascii="Arial" w:hAnsi="Arial" w:cs="Arial" w:hint="eastAsia"/>
                <w:b w:val="0"/>
                <w:color w:val="000000" w:themeColor="text1"/>
              </w:rPr>
              <w:t>6</w:t>
            </w:r>
            <w:r w:rsidRPr="00B05244">
              <w:rPr>
                <w:rFonts w:ascii="Arial" w:hAnsi="Arial" w:cs="Arial"/>
                <w:b w:val="0"/>
                <w:color w:val="000000" w:themeColor="text1"/>
              </w:rPr>
              <w:t>/</w:t>
            </w:r>
            <w:r w:rsidR="00AB4D07">
              <w:rPr>
                <w:rFonts w:ascii="Arial" w:hAnsi="Arial" w:cs="Arial" w:hint="eastAsia"/>
                <w:b w:val="0"/>
                <w:color w:val="000000" w:themeColor="text1"/>
              </w:rPr>
              <w:t>01</w:t>
            </w:r>
          </w:p>
        </w:tc>
        <w:tc>
          <w:tcPr>
            <w:tcW w:w="1169" w:type="dxa"/>
            <w:shd w:val="clear" w:color="auto" w:fill="FBD4B4" w:themeFill="accent6" w:themeFillTint="66"/>
          </w:tcPr>
          <w:p w:rsidR="00A06AA5" w:rsidRPr="00A06AA5" w:rsidRDefault="00042BC3" w:rsidP="0044424A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.6</w:t>
            </w: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A06AA5" w:rsidRPr="0044424A" w:rsidRDefault="00042BC3" w:rsidP="0044424A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02A61">
              <w:rPr>
                <w:rFonts w:hint="eastAsia"/>
                <w:color w:val="auto"/>
              </w:rPr>
              <w:t>18.79</w:t>
            </w:r>
            <w:r w:rsidR="00A06AA5" w:rsidRPr="0044424A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06AA5" w:rsidRPr="00A06AA5" w:rsidRDefault="00042BC3" w:rsidP="00A06AA5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02A61">
              <w:rPr>
                <w:color w:val="0070C0"/>
              </w:rPr>
              <w:t>1</w:t>
            </w:r>
            <w:r w:rsidRPr="00E02A61">
              <w:rPr>
                <w:rFonts w:hint="eastAsia"/>
                <w:color w:val="0070C0"/>
              </w:rPr>
              <w:t>4</w:t>
            </w:r>
            <w:r w:rsidRPr="00E02A61">
              <w:rPr>
                <w:color w:val="0070C0"/>
              </w:rPr>
              <w:t>.</w:t>
            </w:r>
            <w:r w:rsidRPr="00E02A61">
              <w:rPr>
                <w:rFonts w:hint="eastAsia"/>
                <w:color w:val="0070C0"/>
              </w:rPr>
              <w:t>27</w:t>
            </w:r>
            <w:r w:rsidR="00A06AA5" w:rsidRPr="00A06AA5">
              <w:rPr>
                <w:color w:val="000000" w:themeColor="text1"/>
              </w:rPr>
              <w:t xml:space="preserve"> </w:t>
            </w:r>
          </w:p>
        </w:tc>
        <w:tc>
          <w:tcPr>
            <w:tcW w:w="1169" w:type="dxa"/>
            <w:shd w:val="clear" w:color="auto" w:fill="FBD4B4" w:themeFill="accent6" w:themeFillTint="66"/>
          </w:tcPr>
          <w:p w:rsidR="00A06AA5" w:rsidRPr="00A06AA5" w:rsidRDefault="00042BC3" w:rsidP="00A06AA5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18</w:t>
            </w:r>
            <w:r w:rsidR="00A06AA5" w:rsidRPr="00A06AA5">
              <w:rPr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06AA5" w:rsidRPr="00A06AA5" w:rsidRDefault="00042BC3" w:rsidP="00A06AA5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6</w:t>
            </w:r>
            <w:r>
              <w:rPr>
                <w:color w:val="0070C0"/>
              </w:rPr>
              <w:t>.</w:t>
            </w:r>
            <w:r>
              <w:rPr>
                <w:rFonts w:hint="eastAsia"/>
                <w:color w:val="0070C0"/>
              </w:rPr>
              <w:t>52</w:t>
            </w:r>
            <w:r w:rsidR="00A06AA5" w:rsidRPr="00A06AA5">
              <w:rPr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06AA5" w:rsidRPr="00A06AA5" w:rsidRDefault="00042BC3" w:rsidP="00A06AA5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02A61">
              <w:rPr>
                <w:rFonts w:hint="eastAsia"/>
                <w:color w:val="FF0000"/>
              </w:rPr>
              <w:t>20</w:t>
            </w:r>
            <w:r w:rsidRPr="00E02A61">
              <w:rPr>
                <w:color w:val="FF0000"/>
              </w:rPr>
              <w:t>.</w:t>
            </w:r>
            <w:r w:rsidRPr="00E02A61">
              <w:rPr>
                <w:rFonts w:hint="eastAsia"/>
                <w:color w:val="FF0000"/>
              </w:rPr>
              <w:t>68</w:t>
            </w:r>
            <w:r w:rsidR="00A06AA5" w:rsidRPr="00A06AA5">
              <w:rPr>
                <w:color w:val="000000" w:themeColor="text1"/>
              </w:rPr>
              <w:t xml:space="preserve"> </w:t>
            </w:r>
          </w:p>
        </w:tc>
      </w:tr>
      <w:tr w:rsidR="00AB4D07" w:rsidRPr="00A54C4F" w:rsidTr="00E02A61">
        <w:trPr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FBD4B4" w:themeFill="accent6" w:themeFillTint="66"/>
          </w:tcPr>
          <w:p w:rsidR="00AB4D07" w:rsidRPr="00AB4D07" w:rsidRDefault="00AB4D07" w:rsidP="00AB4D07">
            <w:pPr>
              <w:ind w:rightChars="96" w:right="23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AB4D07">
              <w:rPr>
                <w:rFonts w:ascii="Arial" w:hAnsi="Arial" w:cs="Arial"/>
                <w:b w:val="0"/>
                <w:color w:val="000000" w:themeColor="text1"/>
              </w:rPr>
              <w:t>105/12</w:t>
            </w:r>
          </w:p>
        </w:tc>
        <w:tc>
          <w:tcPr>
            <w:tcW w:w="1169" w:type="dxa"/>
            <w:shd w:val="clear" w:color="auto" w:fill="FBD4B4" w:themeFill="accent6" w:themeFillTint="66"/>
          </w:tcPr>
          <w:p w:rsidR="00AB4D07" w:rsidRPr="00A06AA5" w:rsidRDefault="00042BC3" w:rsidP="0044424A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  <w:r>
              <w:rPr>
                <w:rFonts w:hint="eastAsia"/>
                <w:color w:val="000000" w:themeColor="text1"/>
              </w:rPr>
              <w:t>77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AB4D07" w:rsidRPr="0044424A" w:rsidRDefault="00042BC3" w:rsidP="0044424A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02A61">
              <w:rPr>
                <w:rFonts w:hint="eastAsia"/>
                <w:color w:val="auto"/>
              </w:rPr>
              <w:t>17.77</w:t>
            </w:r>
            <w:r w:rsidR="00AB4D07" w:rsidRPr="0044424A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B4D07" w:rsidRPr="00A06AA5" w:rsidRDefault="00042BC3" w:rsidP="00A06AA5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  <w:r>
              <w:rPr>
                <w:rFonts w:hint="eastAsia"/>
                <w:color w:val="000000" w:themeColor="text1"/>
              </w:rPr>
              <w:t>17</w:t>
            </w:r>
            <w:r w:rsidR="00AB4D07" w:rsidRPr="00A06AA5">
              <w:rPr>
                <w:color w:val="000000" w:themeColor="text1"/>
              </w:rPr>
              <w:t xml:space="preserve"> </w:t>
            </w:r>
          </w:p>
        </w:tc>
        <w:tc>
          <w:tcPr>
            <w:tcW w:w="1169" w:type="dxa"/>
            <w:shd w:val="clear" w:color="auto" w:fill="FBD4B4" w:themeFill="accent6" w:themeFillTint="66"/>
          </w:tcPr>
          <w:p w:rsidR="00AB4D07" w:rsidRPr="00A06AA5" w:rsidRDefault="00042BC3" w:rsidP="00A06AA5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  <w:r>
              <w:rPr>
                <w:rFonts w:hint="eastAsia"/>
                <w:color w:val="000000" w:themeColor="text1"/>
              </w:rPr>
              <w:t>55</w:t>
            </w:r>
            <w:r w:rsidR="00AB4D07" w:rsidRPr="00A06AA5">
              <w:rPr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B4D07" w:rsidRPr="00A06AA5" w:rsidRDefault="00042BC3" w:rsidP="00A06AA5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  <w:r>
              <w:rPr>
                <w:rFonts w:hint="eastAsia"/>
                <w:color w:val="000000" w:themeColor="text1"/>
              </w:rPr>
              <w:t>27</w:t>
            </w:r>
            <w:r w:rsidR="00AB4D07" w:rsidRPr="00A06AA5">
              <w:rPr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B4D07" w:rsidRPr="00A06AA5" w:rsidRDefault="00042BC3" w:rsidP="00A06AA5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  <w:r>
              <w:rPr>
                <w:rFonts w:hint="eastAsia"/>
                <w:color w:val="000000" w:themeColor="text1"/>
              </w:rPr>
              <w:t>12</w:t>
            </w:r>
            <w:r w:rsidR="00AB4D07" w:rsidRPr="00A06AA5">
              <w:rPr>
                <w:color w:val="000000" w:themeColor="text1"/>
              </w:rPr>
              <w:t xml:space="preserve"> </w:t>
            </w:r>
          </w:p>
        </w:tc>
      </w:tr>
      <w:tr w:rsidR="00AB4D07" w:rsidRPr="00A54C4F" w:rsidTr="00E0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AB4D07" w:rsidRPr="00AB4D07" w:rsidRDefault="00AB4D07" w:rsidP="00AB4D07">
            <w:pPr>
              <w:ind w:rightChars="96" w:right="23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AB4D07">
              <w:rPr>
                <w:rFonts w:ascii="Arial" w:hAnsi="Arial" w:cs="Arial"/>
                <w:b w:val="0"/>
                <w:color w:val="000000" w:themeColor="text1"/>
              </w:rPr>
              <w:t>105/11</w:t>
            </w:r>
          </w:p>
        </w:tc>
        <w:tc>
          <w:tcPr>
            <w:tcW w:w="1169" w:type="dxa"/>
          </w:tcPr>
          <w:p w:rsidR="00AB4D07" w:rsidRPr="00E3255B" w:rsidRDefault="00042BC3" w:rsidP="0044424A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</w:t>
            </w:r>
            <w:r>
              <w:rPr>
                <w:rFonts w:hint="eastAsia"/>
              </w:rPr>
              <w:t>05</w:t>
            </w:r>
          </w:p>
        </w:tc>
        <w:tc>
          <w:tcPr>
            <w:tcW w:w="1170" w:type="dxa"/>
            <w:vAlign w:val="center"/>
          </w:tcPr>
          <w:p w:rsidR="00AB4D07" w:rsidRPr="0044424A" w:rsidRDefault="00042BC3" w:rsidP="0044424A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20.73</w:t>
            </w:r>
            <w:r w:rsidR="00AB4D07" w:rsidRPr="0044424A">
              <w:rPr>
                <w:rFonts w:hint="eastAsia"/>
              </w:rPr>
              <w:t xml:space="preserve"> </w:t>
            </w:r>
          </w:p>
        </w:tc>
        <w:tc>
          <w:tcPr>
            <w:tcW w:w="1170" w:type="dxa"/>
          </w:tcPr>
          <w:p w:rsidR="00AB4D07" w:rsidRPr="000A3AAD" w:rsidRDefault="00042BC3" w:rsidP="00A06AA5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.4</w:t>
            </w:r>
            <w:r>
              <w:rPr>
                <w:rFonts w:hint="eastAsia"/>
              </w:rPr>
              <w:t>8</w:t>
            </w:r>
            <w:r w:rsidR="00AB4D07" w:rsidRPr="000A3AAD">
              <w:t xml:space="preserve"> </w:t>
            </w:r>
          </w:p>
        </w:tc>
        <w:tc>
          <w:tcPr>
            <w:tcW w:w="1169" w:type="dxa"/>
          </w:tcPr>
          <w:p w:rsidR="00AB4D07" w:rsidRPr="00712CF7" w:rsidRDefault="00042BC3" w:rsidP="00A06AA5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</w:t>
            </w:r>
            <w:r>
              <w:rPr>
                <w:rFonts w:hint="eastAsia"/>
              </w:rPr>
              <w:t>78</w:t>
            </w:r>
            <w:r w:rsidR="00AB4D07" w:rsidRPr="00712CF7">
              <w:t xml:space="preserve"> </w:t>
            </w:r>
          </w:p>
        </w:tc>
        <w:tc>
          <w:tcPr>
            <w:tcW w:w="1170" w:type="dxa"/>
          </w:tcPr>
          <w:p w:rsidR="00AB4D07" w:rsidRPr="00335C6F" w:rsidRDefault="00042BC3" w:rsidP="00A06AA5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>
              <w:rPr>
                <w:rFonts w:hint="eastAsia"/>
              </w:rPr>
              <w:t>8</w:t>
            </w:r>
            <w:r>
              <w:t>.</w:t>
            </w:r>
            <w:r>
              <w:rPr>
                <w:rFonts w:hint="eastAsia"/>
              </w:rPr>
              <w:t>29</w:t>
            </w:r>
            <w:r w:rsidR="00AB4D07" w:rsidRPr="00335C6F">
              <w:t xml:space="preserve"> </w:t>
            </w:r>
          </w:p>
        </w:tc>
        <w:tc>
          <w:tcPr>
            <w:tcW w:w="1170" w:type="dxa"/>
          </w:tcPr>
          <w:p w:rsidR="00AB4D07" w:rsidRPr="00142032" w:rsidRDefault="00042BC3" w:rsidP="00A06AA5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</w:t>
            </w:r>
            <w:r>
              <w:rPr>
                <w:rFonts w:hint="eastAsia"/>
              </w:rPr>
              <w:t>48</w:t>
            </w:r>
            <w:r w:rsidR="00AB4D07" w:rsidRPr="00142032">
              <w:t xml:space="preserve"> </w:t>
            </w:r>
          </w:p>
        </w:tc>
      </w:tr>
      <w:tr w:rsidR="00042BC3" w:rsidRPr="00A54C4F" w:rsidTr="00E02A61">
        <w:trPr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042BC3" w:rsidRPr="00AB4D07" w:rsidRDefault="00042BC3" w:rsidP="00AB4D07">
            <w:pPr>
              <w:ind w:rightChars="96" w:right="23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AB4D07">
              <w:rPr>
                <w:rFonts w:ascii="Arial" w:hAnsi="Arial" w:cs="Arial"/>
                <w:b w:val="0"/>
                <w:color w:val="000000" w:themeColor="text1"/>
              </w:rPr>
              <w:t>105/10</w:t>
            </w:r>
          </w:p>
        </w:tc>
        <w:tc>
          <w:tcPr>
            <w:tcW w:w="1169" w:type="dxa"/>
          </w:tcPr>
          <w:p w:rsidR="00042BC3" w:rsidRPr="00E3255B" w:rsidRDefault="00042BC3" w:rsidP="0044424A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</w:t>
            </w:r>
            <w:r>
              <w:rPr>
                <w:rFonts w:hint="eastAsia"/>
              </w:rPr>
              <w:t>33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17.48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16.49 </w:t>
            </w:r>
          </w:p>
        </w:tc>
        <w:tc>
          <w:tcPr>
            <w:tcW w:w="1169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20.14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19.87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19.70 </w:t>
            </w:r>
          </w:p>
        </w:tc>
      </w:tr>
      <w:tr w:rsidR="00042BC3" w:rsidRPr="00A54C4F" w:rsidTr="00E0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042BC3" w:rsidRPr="00AB4D07" w:rsidRDefault="00042BC3" w:rsidP="00AB4D07">
            <w:pPr>
              <w:ind w:rightChars="96" w:right="23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AB4D07">
              <w:rPr>
                <w:rFonts w:ascii="Arial" w:hAnsi="Arial" w:cs="Arial"/>
                <w:b w:val="0"/>
                <w:color w:val="000000" w:themeColor="text1"/>
              </w:rPr>
              <w:t>105/09</w:t>
            </w:r>
          </w:p>
        </w:tc>
        <w:tc>
          <w:tcPr>
            <w:tcW w:w="1169" w:type="dxa"/>
          </w:tcPr>
          <w:p w:rsidR="00042BC3" w:rsidRPr="00E3255B" w:rsidRDefault="00042BC3" w:rsidP="0044424A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</w:t>
            </w:r>
            <w:r>
              <w:rPr>
                <w:rFonts w:hint="eastAsia"/>
              </w:rPr>
              <w:t>64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19.59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16.67 </w:t>
            </w:r>
          </w:p>
        </w:tc>
        <w:tc>
          <w:tcPr>
            <w:tcW w:w="1169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20.23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20.14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20.07 </w:t>
            </w:r>
          </w:p>
        </w:tc>
      </w:tr>
      <w:tr w:rsidR="00042BC3" w:rsidRPr="00A54C4F" w:rsidTr="00E02A61">
        <w:trPr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042BC3" w:rsidRPr="00AB4D07" w:rsidRDefault="00042BC3" w:rsidP="00AB4D07">
            <w:pPr>
              <w:ind w:rightChars="96" w:right="23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AB4D07">
              <w:rPr>
                <w:rFonts w:ascii="Arial" w:hAnsi="Arial" w:cs="Arial"/>
                <w:b w:val="0"/>
                <w:color w:val="000000" w:themeColor="text1"/>
              </w:rPr>
              <w:t>105/08</w:t>
            </w:r>
          </w:p>
        </w:tc>
        <w:tc>
          <w:tcPr>
            <w:tcW w:w="1169" w:type="dxa"/>
          </w:tcPr>
          <w:p w:rsidR="00042BC3" w:rsidRPr="00DE2991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991">
              <w:t xml:space="preserve">17.18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18.41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14.85 </w:t>
            </w:r>
          </w:p>
        </w:tc>
        <w:tc>
          <w:tcPr>
            <w:tcW w:w="1169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22.62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19.49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20.36 </w:t>
            </w:r>
          </w:p>
        </w:tc>
      </w:tr>
      <w:tr w:rsidR="00042BC3" w:rsidRPr="00A54C4F" w:rsidTr="00E0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042BC3" w:rsidRPr="00AB4D07" w:rsidRDefault="00042BC3" w:rsidP="00AB4D07">
            <w:pPr>
              <w:ind w:rightChars="96" w:right="23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AB4D07">
              <w:rPr>
                <w:rFonts w:ascii="Arial" w:hAnsi="Arial" w:cs="Arial"/>
                <w:b w:val="0"/>
                <w:color w:val="000000" w:themeColor="text1"/>
              </w:rPr>
              <w:t>105/07</w:t>
            </w:r>
          </w:p>
        </w:tc>
        <w:tc>
          <w:tcPr>
            <w:tcW w:w="1169" w:type="dxa"/>
          </w:tcPr>
          <w:p w:rsidR="00042BC3" w:rsidRPr="00DE2991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991">
              <w:t xml:space="preserve">17.74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20.48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15.19 </w:t>
            </w:r>
          </w:p>
        </w:tc>
        <w:tc>
          <w:tcPr>
            <w:tcW w:w="1169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20.75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16.68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19.56 </w:t>
            </w:r>
          </w:p>
        </w:tc>
      </w:tr>
      <w:tr w:rsidR="00042BC3" w:rsidRPr="00A54C4F" w:rsidTr="00E02A61">
        <w:trPr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042BC3" w:rsidRPr="00AB4D07" w:rsidRDefault="00042BC3" w:rsidP="00AB4D07">
            <w:pPr>
              <w:ind w:rightChars="96" w:right="23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AB4D07">
              <w:rPr>
                <w:rFonts w:ascii="Arial" w:hAnsi="Arial" w:cs="Arial"/>
                <w:b w:val="0"/>
                <w:color w:val="000000" w:themeColor="text1"/>
              </w:rPr>
              <w:t>105/06</w:t>
            </w:r>
          </w:p>
        </w:tc>
        <w:tc>
          <w:tcPr>
            <w:tcW w:w="1169" w:type="dxa"/>
          </w:tcPr>
          <w:p w:rsidR="00042BC3" w:rsidRPr="00DE2991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991">
              <w:t xml:space="preserve">17.75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19.36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15.01 </w:t>
            </w:r>
          </w:p>
        </w:tc>
        <w:tc>
          <w:tcPr>
            <w:tcW w:w="1169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19.79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17.89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20.41 </w:t>
            </w:r>
          </w:p>
        </w:tc>
      </w:tr>
      <w:tr w:rsidR="00042BC3" w:rsidRPr="00A54C4F" w:rsidTr="00E0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042BC3" w:rsidRPr="00AB4D07" w:rsidRDefault="00042BC3" w:rsidP="00AB4D07">
            <w:pPr>
              <w:ind w:rightChars="96" w:right="23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AB4D07">
              <w:rPr>
                <w:rFonts w:ascii="Arial" w:hAnsi="Arial" w:cs="Arial"/>
                <w:b w:val="0"/>
                <w:color w:val="000000" w:themeColor="text1"/>
              </w:rPr>
              <w:t>105/05</w:t>
            </w:r>
          </w:p>
        </w:tc>
        <w:tc>
          <w:tcPr>
            <w:tcW w:w="1169" w:type="dxa"/>
          </w:tcPr>
          <w:p w:rsidR="00042BC3" w:rsidRPr="00DE2991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991">
              <w:t xml:space="preserve">17.17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18.11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15.14 </w:t>
            </w:r>
          </w:p>
        </w:tc>
        <w:tc>
          <w:tcPr>
            <w:tcW w:w="1169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20.68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15.14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21.20 </w:t>
            </w:r>
          </w:p>
        </w:tc>
      </w:tr>
      <w:tr w:rsidR="00042BC3" w:rsidRPr="00A54C4F" w:rsidTr="00E02A61">
        <w:trPr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042BC3" w:rsidRPr="00AB4D07" w:rsidRDefault="00042BC3" w:rsidP="00AB4D07">
            <w:pPr>
              <w:ind w:rightChars="96" w:right="23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AB4D07">
              <w:rPr>
                <w:rFonts w:ascii="Arial" w:hAnsi="Arial" w:cs="Arial"/>
                <w:b w:val="0"/>
                <w:color w:val="000000" w:themeColor="text1"/>
              </w:rPr>
              <w:t>105/04</w:t>
            </w:r>
          </w:p>
        </w:tc>
        <w:tc>
          <w:tcPr>
            <w:tcW w:w="1169" w:type="dxa"/>
          </w:tcPr>
          <w:p w:rsidR="00042BC3" w:rsidRPr="00DE2991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991">
              <w:t xml:space="preserve">17.04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18.10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14.46 </w:t>
            </w:r>
          </w:p>
        </w:tc>
        <w:tc>
          <w:tcPr>
            <w:tcW w:w="1169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20.43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15.84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20.07 </w:t>
            </w:r>
          </w:p>
        </w:tc>
      </w:tr>
      <w:tr w:rsidR="00042BC3" w:rsidRPr="00A54C4F" w:rsidTr="00E0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042BC3" w:rsidRPr="00AB4D07" w:rsidRDefault="00042BC3" w:rsidP="00AB4D07">
            <w:pPr>
              <w:ind w:rightChars="96" w:right="23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AB4D07">
              <w:rPr>
                <w:rFonts w:ascii="Arial" w:hAnsi="Arial" w:cs="Arial"/>
                <w:b w:val="0"/>
                <w:color w:val="000000" w:themeColor="text1"/>
              </w:rPr>
              <w:t>105/03</w:t>
            </w:r>
          </w:p>
        </w:tc>
        <w:tc>
          <w:tcPr>
            <w:tcW w:w="1169" w:type="dxa"/>
          </w:tcPr>
          <w:p w:rsidR="00042BC3" w:rsidRPr="00DE2991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991">
              <w:t xml:space="preserve">17.34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18.50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14.76 </w:t>
            </w:r>
          </w:p>
        </w:tc>
        <w:tc>
          <w:tcPr>
            <w:tcW w:w="1169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20.38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15.19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F56">
              <w:t xml:space="preserve">20.11 </w:t>
            </w:r>
          </w:p>
        </w:tc>
      </w:tr>
      <w:tr w:rsidR="00042BC3" w:rsidRPr="00A54C4F" w:rsidTr="00E02A61">
        <w:trPr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042BC3" w:rsidRPr="00AB4D07" w:rsidRDefault="00042BC3" w:rsidP="00AB4D07">
            <w:pPr>
              <w:ind w:rightChars="96" w:right="23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AB4D07">
              <w:rPr>
                <w:rFonts w:ascii="Arial" w:hAnsi="Arial" w:cs="Arial"/>
                <w:b w:val="0"/>
                <w:color w:val="000000" w:themeColor="text1"/>
              </w:rPr>
              <w:t>105/02</w:t>
            </w:r>
          </w:p>
        </w:tc>
        <w:tc>
          <w:tcPr>
            <w:tcW w:w="1169" w:type="dxa"/>
          </w:tcPr>
          <w:p w:rsidR="00042BC3" w:rsidRPr="00DE2991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991">
              <w:t xml:space="preserve">17.09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19.27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15.25 </w:t>
            </w:r>
          </w:p>
        </w:tc>
        <w:tc>
          <w:tcPr>
            <w:tcW w:w="1169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19.97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21.91 </w:t>
            </w:r>
          </w:p>
        </w:tc>
        <w:tc>
          <w:tcPr>
            <w:tcW w:w="1170" w:type="dxa"/>
          </w:tcPr>
          <w:p w:rsidR="00042BC3" w:rsidRPr="00297F5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F56">
              <w:t xml:space="preserve">20.69 </w:t>
            </w:r>
          </w:p>
        </w:tc>
      </w:tr>
      <w:tr w:rsidR="00042BC3" w:rsidRPr="00A54C4F" w:rsidTr="00E0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FBD4B4" w:themeFill="accent6" w:themeFillTint="66"/>
          </w:tcPr>
          <w:p w:rsidR="00042BC3" w:rsidRPr="00AB4D07" w:rsidRDefault="00042BC3" w:rsidP="00AB4D07">
            <w:pPr>
              <w:ind w:rightChars="96" w:right="23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AB4D07">
              <w:rPr>
                <w:rFonts w:ascii="Arial" w:hAnsi="Arial" w:cs="Arial"/>
                <w:b w:val="0"/>
                <w:color w:val="000000" w:themeColor="text1"/>
              </w:rPr>
              <w:t>105/01</w:t>
            </w:r>
          </w:p>
        </w:tc>
        <w:tc>
          <w:tcPr>
            <w:tcW w:w="1169" w:type="dxa"/>
            <w:shd w:val="clear" w:color="auto" w:fill="FBD4B4" w:themeFill="accent6" w:themeFillTint="66"/>
          </w:tcPr>
          <w:p w:rsidR="00042BC3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BC3">
              <w:rPr>
                <w:color w:val="auto"/>
              </w:rPr>
              <w:t xml:space="preserve">16.64 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042BC3" w:rsidRPr="00042BC3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2BC3">
              <w:rPr>
                <w:color w:val="auto"/>
              </w:rPr>
              <w:t xml:space="preserve">18.24 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042BC3" w:rsidRPr="00042BC3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2BC3">
              <w:rPr>
                <w:color w:val="auto"/>
              </w:rPr>
              <w:t xml:space="preserve">15.38 </w:t>
            </w:r>
          </w:p>
        </w:tc>
        <w:tc>
          <w:tcPr>
            <w:tcW w:w="1169" w:type="dxa"/>
            <w:shd w:val="clear" w:color="auto" w:fill="FBD4B4" w:themeFill="accent6" w:themeFillTint="66"/>
          </w:tcPr>
          <w:p w:rsidR="00042BC3" w:rsidRPr="00042BC3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2BC3">
              <w:rPr>
                <w:color w:val="auto"/>
              </w:rPr>
              <w:t xml:space="preserve">19.30 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042BC3" w:rsidRPr="00042BC3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2BC3">
              <w:rPr>
                <w:color w:val="auto"/>
              </w:rPr>
              <w:t xml:space="preserve">18.75 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042BC3" w:rsidRPr="00042BC3" w:rsidRDefault="00042BC3" w:rsidP="00042BC3">
            <w:pPr>
              <w:spacing w:line="280" w:lineRule="exact"/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2BC3">
              <w:rPr>
                <w:color w:val="auto"/>
              </w:rPr>
              <w:t xml:space="preserve">19.25 </w:t>
            </w:r>
          </w:p>
        </w:tc>
      </w:tr>
      <w:tr w:rsidR="00042BC3" w:rsidRPr="00A54C4F" w:rsidTr="00B37089">
        <w:trPr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042BC3" w:rsidRPr="00AB4D07" w:rsidRDefault="00042BC3" w:rsidP="00B37089">
            <w:pPr>
              <w:ind w:rightChars="96" w:right="230"/>
              <w:jc w:val="center"/>
              <w:rPr>
                <w:color w:val="000000" w:themeColor="text1"/>
                <w:szCs w:val="24"/>
              </w:rPr>
            </w:pPr>
            <w:r w:rsidRPr="00AB4D07">
              <w:rPr>
                <w:rFonts w:hint="eastAsia"/>
                <w:color w:val="000000" w:themeColor="text1"/>
                <w:szCs w:val="24"/>
              </w:rPr>
              <w:t>平均單價</w:t>
            </w:r>
          </w:p>
        </w:tc>
        <w:tc>
          <w:tcPr>
            <w:tcW w:w="1169" w:type="dxa"/>
          </w:tcPr>
          <w:p w:rsidR="00042BC3" w:rsidRPr="00D9132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1326">
              <w:t xml:space="preserve">17.29 </w:t>
            </w:r>
          </w:p>
        </w:tc>
        <w:tc>
          <w:tcPr>
            <w:tcW w:w="1170" w:type="dxa"/>
          </w:tcPr>
          <w:p w:rsidR="00042BC3" w:rsidRPr="00D9132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1326">
              <w:t xml:space="preserve">18.82 </w:t>
            </w:r>
          </w:p>
        </w:tc>
        <w:tc>
          <w:tcPr>
            <w:tcW w:w="1170" w:type="dxa"/>
          </w:tcPr>
          <w:p w:rsidR="00042BC3" w:rsidRPr="00D9132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1326">
              <w:t xml:space="preserve">15.26 </w:t>
            </w:r>
          </w:p>
        </w:tc>
        <w:tc>
          <w:tcPr>
            <w:tcW w:w="1169" w:type="dxa"/>
          </w:tcPr>
          <w:p w:rsidR="00042BC3" w:rsidRPr="00D9132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1326">
              <w:t xml:space="preserve">20.56 </w:t>
            </w:r>
          </w:p>
        </w:tc>
        <w:tc>
          <w:tcPr>
            <w:tcW w:w="1170" w:type="dxa"/>
          </w:tcPr>
          <w:p w:rsidR="00042BC3" w:rsidRPr="00D91326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1326">
              <w:t xml:space="preserve">16.07 </w:t>
            </w:r>
          </w:p>
        </w:tc>
        <w:tc>
          <w:tcPr>
            <w:tcW w:w="1170" w:type="dxa"/>
          </w:tcPr>
          <w:p w:rsidR="00042BC3" w:rsidRDefault="00042BC3" w:rsidP="00042BC3">
            <w:pPr>
              <w:spacing w:line="280" w:lineRule="exact"/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1326">
              <w:t xml:space="preserve">20.05 </w:t>
            </w:r>
          </w:p>
        </w:tc>
      </w:tr>
    </w:tbl>
    <w:p w:rsidR="00F94F90" w:rsidRDefault="004D2F9E" w:rsidP="00957FE6">
      <w:pPr>
        <w:widowControl/>
        <w:spacing w:line="380" w:lineRule="exact"/>
        <w:ind w:leftChars="177" w:left="425" w:rightChars="96" w:right="230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proofErr w:type="gramStart"/>
      <w:r w:rsidRPr="00F94F9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註</w:t>
      </w:r>
      <w:proofErr w:type="gramEnd"/>
      <w:r w:rsidRPr="00F94F9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：統計樣本包括大樓、華廈與公寓型態建物。</w:t>
      </w:r>
    </w:p>
    <w:p w:rsidR="00957FE6" w:rsidRPr="00F94F90" w:rsidRDefault="00957FE6" w:rsidP="00957FE6">
      <w:pPr>
        <w:widowControl/>
        <w:spacing w:line="380" w:lineRule="exact"/>
        <w:ind w:leftChars="177" w:left="425" w:rightChars="96" w:right="230"/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:rsidR="00E00F17" w:rsidRPr="00C032EB" w:rsidRDefault="00135675" w:rsidP="00C032EB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C032EB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Pr="00C032EB">
        <w:rPr>
          <w:rFonts w:ascii="標楷體" w:eastAsia="標楷體" w:hAnsi="標楷體" w:hint="eastAsia"/>
          <w:sz w:val="28"/>
          <w:szCs w:val="28"/>
        </w:rPr>
        <w:t>以</w:t>
      </w:r>
      <w:r w:rsidRPr="00C032EB">
        <w:rPr>
          <w:rFonts w:ascii="標楷體" w:eastAsia="標楷體" w:hAnsi="標楷體" w:hint="eastAsia"/>
          <w:b/>
          <w:sz w:val="28"/>
          <w:szCs w:val="28"/>
        </w:rPr>
        <w:t>成交量</w:t>
      </w:r>
      <w:r w:rsidRPr="00C032EB">
        <w:rPr>
          <w:rFonts w:ascii="標楷體" w:eastAsia="標楷體" w:hAnsi="標楷體" w:hint="eastAsia"/>
          <w:sz w:val="28"/>
          <w:szCs w:val="28"/>
        </w:rPr>
        <w:t>觀察，近一年住宅市場成交土地、建物</w:t>
      </w:r>
      <w:proofErr w:type="gramStart"/>
      <w:r w:rsidRPr="00C032EB">
        <w:rPr>
          <w:rFonts w:ascii="標楷體" w:eastAsia="標楷體" w:hAnsi="標楷體" w:hint="eastAsia"/>
          <w:sz w:val="28"/>
          <w:szCs w:val="28"/>
        </w:rPr>
        <w:t>交易筆棟數</w:t>
      </w:r>
      <w:proofErr w:type="gramEnd"/>
      <w:r w:rsidR="0041684D">
        <w:rPr>
          <w:rFonts w:ascii="標楷體" w:eastAsia="標楷體" w:hAnsi="標楷體" w:hint="eastAsia"/>
          <w:sz w:val="28"/>
          <w:szCs w:val="28"/>
        </w:rPr>
        <w:t>，</w:t>
      </w:r>
      <w:r w:rsidR="0041684D" w:rsidRPr="00487FAB">
        <w:rPr>
          <w:rFonts w:ascii="標楷體" w:eastAsia="標楷體" w:hAnsi="標楷體" w:hint="eastAsia"/>
          <w:sz w:val="28"/>
          <w:szCs w:val="28"/>
        </w:rPr>
        <w:t>以中壢區(</w:t>
      </w:r>
      <w:r w:rsidR="007D3FDA">
        <w:rPr>
          <w:rFonts w:ascii="標楷體" w:eastAsia="標楷體" w:hAnsi="標楷體" w:hint="eastAsia"/>
          <w:sz w:val="28"/>
          <w:szCs w:val="28"/>
        </w:rPr>
        <w:t>12,139</w:t>
      </w:r>
      <w:r w:rsidR="0041684D" w:rsidRPr="00C032EB">
        <w:rPr>
          <w:rFonts w:ascii="標楷體" w:eastAsia="標楷體" w:hAnsi="標楷體" w:hint="eastAsia"/>
          <w:sz w:val="28"/>
          <w:szCs w:val="28"/>
        </w:rPr>
        <w:t>筆</w:t>
      </w:r>
      <w:r w:rsidR="0041684D" w:rsidRPr="00487FAB">
        <w:rPr>
          <w:rFonts w:ascii="標楷體" w:eastAsia="標楷體" w:hAnsi="標楷體" w:hint="eastAsia"/>
          <w:sz w:val="28"/>
          <w:szCs w:val="28"/>
        </w:rPr>
        <w:t>)</w:t>
      </w:r>
      <w:r w:rsidR="0041684D">
        <w:rPr>
          <w:rFonts w:ascii="標楷體" w:eastAsia="標楷體" w:hAnsi="標楷體" w:hint="eastAsia"/>
          <w:sz w:val="28"/>
          <w:szCs w:val="28"/>
        </w:rPr>
        <w:t>最高</w:t>
      </w:r>
      <w:r w:rsidR="0041684D" w:rsidRPr="00487FAB">
        <w:rPr>
          <w:rFonts w:ascii="標楷體" w:eastAsia="標楷體" w:hAnsi="標楷體" w:hint="eastAsia"/>
          <w:sz w:val="28"/>
          <w:szCs w:val="28"/>
        </w:rPr>
        <w:t>、桃園區(</w:t>
      </w:r>
      <w:r w:rsidR="007D3FDA">
        <w:rPr>
          <w:rFonts w:ascii="標楷體" w:eastAsia="標楷體" w:hAnsi="標楷體" w:hint="eastAsia"/>
          <w:sz w:val="28"/>
          <w:szCs w:val="28"/>
        </w:rPr>
        <w:t>11,216</w:t>
      </w:r>
      <w:r w:rsidR="0041684D" w:rsidRPr="00C032EB">
        <w:rPr>
          <w:rFonts w:ascii="標楷體" w:eastAsia="標楷體" w:hAnsi="標楷體" w:hint="eastAsia"/>
          <w:sz w:val="28"/>
          <w:szCs w:val="28"/>
        </w:rPr>
        <w:t>筆</w:t>
      </w:r>
      <w:r w:rsidR="0041684D" w:rsidRPr="00487FAB">
        <w:rPr>
          <w:rFonts w:ascii="標楷體" w:eastAsia="標楷體" w:hAnsi="標楷體" w:hint="eastAsia"/>
          <w:sz w:val="28"/>
          <w:szCs w:val="28"/>
        </w:rPr>
        <w:t>)</w:t>
      </w:r>
      <w:r w:rsidR="0041684D">
        <w:rPr>
          <w:rFonts w:ascii="標楷體" w:eastAsia="標楷體" w:hAnsi="標楷體" w:hint="eastAsia"/>
          <w:sz w:val="28"/>
          <w:szCs w:val="28"/>
        </w:rPr>
        <w:t>次之，其次為</w:t>
      </w:r>
      <w:r w:rsidR="0041684D" w:rsidRPr="00C032EB">
        <w:rPr>
          <w:rFonts w:ascii="標楷體" w:eastAsia="標楷體" w:hAnsi="標楷體" w:hint="eastAsia"/>
          <w:sz w:val="28"/>
          <w:szCs w:val="28"/>
        </w:rPr>
        <w:t>龜山區</w:t>
      </w:r>
      <w:r w:rsidR="0041684D" w:rsidRPr="00487FAB">
        <w:rPr>
          <w:rFonts w:ascii="標楷體" w:eastAsia="標楷體" w:hAnsi="標楷體" w:hint="eastAsia"/>
          <w:sz w:val="28"/>
          <w:szCs w:val="28"/>
        </w:rPr>
        <w:t>(</w:t>
      </w:r>
      <w:r w:rsidR="007D3FDA">
        <w:rPr>
          <w:rFonts w:ascii="標楷體" w:eastAsia="標楷體" w:hAnsi="標楷體" w:hint="eastAsia"/>
          <w:sz w:val="28"/>
          <w:szCs w:val="28"/>
        </w:rPr>
        <w:t>8,116</w:t>
      </w:r>
      <w:r w:rsidR="0041684D" w:rsidRPr="00C032EB">
        <w:rPr>
          <w:rFonts w:ascii="標楷體" w:eastAsia="標楷體" w:hAnsi="標楷體" w:hint="eastAsia"/>
          <w:sz w:val="28"/>
          <w:szCs w:val="28"/>
        </w:rPr>
        <w:t>筆</w:t>
      </w:r>
      <w:r w:rsidR="0041684D" w:rsidRPr="00487FAB">
        <w:rPr>
          <w:rFonts w:ascii="標楷體" w:eastAsia="標楷體" w:hAnsi="標楷體" w:hint="eastAsia"/>
          <w:sz w:val="28"/>
          <w:szCs w:val="28"/>
        </w:rPr>
        <w:t>)</w:t>
      </w:r>
      <w:r w:rsidRPr="00C032EB">
        <w:rPr>
          <w:rFonts w:ascii="標楷體" w:eastAsia="標楷體" w:hAnsi="標楷體" w:hint="eastAsia"/>
          <w:sz w:val="28"/>
          <w:szCs w:val="28"/>
        </w:rPr>
        <w:t>。</w:t>
      </w:r>
    </w:p>
    <w:p w:rsidR="004D2F9E" w:rsidRPr="00C032EB" w:rsidRDefault="0093200D" w:rsidP="00C032EB">
      <w:pPr>
        <w:spacing w:line="400" w:lineRule="exact"/>
        <w:ind w:rightChars="37" w:right="89"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各區</w:t>
      </w:r>
      <w:r w:rsidR="007D3FDA">
        <w:rPr>
          <w:rFonts w:ascii="標楷體" w:eastAsia="標楷體" w:hAnsi="標楷體" w:hint="eastAsia"/>
          <w:sz w:val="28"/>
          <w:szCs w:val="28"/>
        </w:rPr>
        <w:t>106</w:t>
      </w:r>
      <w:r w:rsidR="009E56E8" w:rsidRPr="00C032EB">
        <w:rPr>
          <w:rFonts w:ascii="標楷體" w:eastAsia="標楷體" w:hAnsi="標楷體" w:hint="eastAsia"/>
          <w:sz w:val="28"/>
          <w:szCs w:val="28"/>
        </w:rPr>
        <w:t>年1</w:t>
      </w:r>
      <w:r w:rsidR="00717937" w:rsidRPr="00C032EB">
        <w:rPr>
          <w:rFonts w:ascii="標楷體" w:eastAsia="標楷體" w:hAnsi="標楷體" w:hint="eastAsia"/>
          <w:sz w:val="28"/>
          <w:szCs w:val="28"/>
        </w:rPr>
        <w:t>月本市住宅市場</w:t>
      </w:r>
      <w:proofErr w:type="gramStart"/>
      <w:r w:rsidR="00717937" w:rsidRPr="00C032EB">
        <w:rPr>
          <w:rFonts w:ascii="標楷體" w:eastAsia="標楷體" w:hAnsi="標楷體" w:hint="eastAsia"/>
          <w:sz w:val="28"/>
          <w:szCs w:val="28"/>
        </w:rPr>
        <w:t>成交筆棟數</w:t>
      </w:r>
      <w:proofErr w:type="gramEnd"/>
      <w:r w:rsidR="00717937" w:rsidRPr="00C032EB">
        <w:rPr>
          <w:rFonts w:ascii="標楷體" w:eastAsia="標楷體" w:hAnsi="標楷體" w:hint="eastAsia"/>
          <w:sz w:val="28"/>
          <w:szCs w:val="28"/>
        </w:rPr>
        <w:t>，</w:t>
      </w:r>
      <w:r w:rsidR="000C475B">
        <w:rPr>
          <w:rFonts w:ascii="標楷體" w:eastAsia="標楷體" w:hAnsi="標楷體" w:hint="eastAsia"/>
          <w:sz w:val="28"/>
          <w:szCs w:val="28"/>
        </w:rPr>
        <w:t>因</w:t>
      </w:r>
      <w:r w:rsidR="0086559F">
        <w:rPr>
          <w:rFonts w:ascii="標楷體" w:eastAsia="標楷體" w:hAnsi="標楷體" w:hint="eastAsia"/>
          <w:sz w:val="28"/>
          <w:szCs w:val="28"/>
        </w:rPr>
        <w:t>上期</w:t>
      </w:r>
      <w:r w:rsidR="00787D3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105年12</w:t>
      </w:r>
      <w:r w:rsidR="000C475B">
        <w:rPr>
          <w:rFonts w:ascii="標楷體" w:eastAsia="標楷體" w:hAnsi="標楷體" w:hint="eastAsia"/>
          <w:sz w:val="28"/>
          <w:szCs w:val="28"/>
        </w:rPr>
        <w:t>月</w:t>
      </w:r>
      <w:r w:rsidR="00787D37"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  <w:r w:rsidR="0086559F">
        <w:rPr>
          <w:rFonts w:ascii="標楷體" w:eastAsia="標楷體" w:hAnsi="標楷體" w:hint="eastAsia"/>
          <w:sz w:val="28"/>
          <w:szCs w:val="28"/>
        </w:rPr>
        <w:t>屬</w:t>
      </w:r>
      <w:r w:rsidR="009406E4">
        <w:rPr>
          <w:rFonts w:ascii="標楷體" w:eastAsia="標楷體" w:hAnsi="標楷體" w:hint="eastAsia"/>
          <w:sz w:val="28"/>
          <w:szCs w:val="28"/>
        </w:rPr>
        <w:t>年底</w:t>
      </w:r>
      <w:r w:rsidR="000C475B">
        <w:rPr>
          <w:rFonts w:ascii="標楷體" w:eastAsia="標楷體" w:hAnsi="標楷體" w:hint="eastAsia"/>
          <w:sz w:val="28"/>
          <w:szCs w:val="28"/>
        </w:rPr>
        <w:t>傳統交屋旺季，</w:t>
      </w:r>
      <w:r w:rsidR="009E56E8" w:rsidRPr="00C032EB">
        <w:rPr>
          <w:rFonts w:ascii="標楷體" w:eastAsia="標楷體" w:hAnsi="標楷體" w:hint="eastAsia"/>
          <w:sz w:val="28"/>
          <w:szCs w:val="28"/>
        </w:rPr>
        <w:t>建案</w:t>
      </w:r>
      <w:r w:rsidR="009406E4">
        <w:rPr>
          <w:rFonts w:ascii="標楷體" w:eastAsia="標楷體" w:hAnsi="標楷體" w:hint="eastAsia"/>
          <w:sz w:val="28"/>
          <w:szCs w:val="28"/>
        </w:rPr>
        <w:t>移轉</w:t>
      </w:r>
      <w:r w:rsidR="009E56E8" w:rsidRPr="00C032EB">
        <w:rPr>
          <w:rFonts w:ascii="標楷體" w:eastAsia="標楷體" w:hAnsi="標楷體" w:hint="eastAsia"/>
          <w:sz w:val="28"/>
          <w:szCs w:val="28"/>
        </w:rPr>
        <w:t>交屋</w:t>
      </w:r>
      <w:r w:rsidR="001A5C70" w:rsidRPr="00C032EB">
        <w:rPr>
          <w:rFonts w:ascii="標楷體" w:eastAsia="標楷體" w:hAnsi="標楷體" w:hint="eastAsia"/>
          <w:sz w:val="28"/>
          <w:szCs w:val="28"/>
        </w:rPr>
        <w:t>量</w:t>
      </w:r>
      <w:r w:rsidR="00987E16" w:rsidRPr="00C032EB">
        <w:rPr>
          <w:rFonts w:ascii="標楷體" w:eastAsia="標楷體" w:hAnsi="標楷體" w:hint="eastAsia"/>
          <w:sz w:val="28"/>
          <w:szCs w:val="28"/>
        </w:rPr>
        <w:t>較大</w:t>
      </w:r>
      <w:r w:rsidR="00FD413E">
        <w:rPr>
          <w:rFonts w:ascii="標楷體" w:eastAsia="標楷體" w:hAnsi="標楷體" w:hint="eastAsia"/>
          <w:sz w:val="28"/>
          <w:szCs w:val="28"/>
        </w:rPr>
        <w:t>，</w:t>
      </w:r>
      <w:r w:rsidR="000C475B">
        <w:rPr>
          <w:rFonts w:ascii="標楷體" w:eastAsia="標楷體" w:hAnsi="標楷體" w:hint="eastAsia"/>
          <w:sz w:val="28"/>
          <w:szCs w:val="28"/>
        </w:rPr>
        <w:t>致</w:t>
      </w:r>
      <w:r w:rsidR="00FD413E">
        <w:rPr>
          <w:rFonts w:ascii="標楷體" w:eastAsia="標楷體" w:hAnsi="標楷體" w:hint="eastAsia"/>
          <w:sz w:val="28"/>
          <w:szCs w:val="28"/>
        </w:rPr>
        <w:t>本月均呈現減少情形，其中減少幅度</w:t>
      </w:r>
      <w:r w:rsidR="009406E4">
        <w:rPr>
          <w:rFonts w:ascii="標楷體" w:eastAsia="標楷體" w:hAnsi="標楷體" w:hint="eastAsia"/>
          <w:sz w:val="28"/>
          <w:szCs w:val="28"/>
        </w:rPr>
        <w:t>前</w:t>
      </w:r>
      <w:r w:rsidR="00195873">
        <w:rPr>
          <w:rFonts w:ascii="標楷體" w:eastAsia="標楷體" w:hAnsi="標楷體" w:hint="eastAsia"/>
          <w:sz w:val="28"/>
          <w:szCs w:val="28"/>
        </w:rPr>
        <w:t>三</w:t>
      </w:r>
      <w:r w:rsidR="009406E4">
        <w:rPr>
          <w:rFonts w:ascii="標楷體" w:eastAsia="標楷體" w:hAnsi="標楷體" w:hint="eastAsia"/>
          <w:sz w:val="28"/>
          <w:szCs w:val="28"/>
        </w:rPr>
        <w:t>名為中壢</w:t>
      </w:r>
      <w:r w:rsidR="00A83DE1">
        <w:rPr>
          <w:rFonts w:ascii="標楷體" w:eastAsia="標楷體" w:hAnsi="標楷體" w:hint="eastAsia"/>
          <w:sz w:val="28"/>
          <w:szCs w:val="28"/>
        </w:rPr>
        <w:t>區</w:t>
      </w:r>
      <w:r w:rsidR="009406E4">
        <w:rPr>
          <w:rFonts w:ascii="標楷體" w:eastAsia="標楷體" w:hAnsi="標楷體" w:hint="eastAsia"/>
          <w:sz w:val="28"/>
          <w:szCs w:val="28"/>
        </w:rPr>
        <w:t>(66</w:t>
      </w:r>
      <w:r w:rsidR="00FD413E">
        <w:rPr>
          <w:rFonts w:ascii="標楷體" w:eastAsia="標楷體" w:hAnsi="標楷體" w:hint="eastAsia"/>
          <w:sz w:val="28"/>
          <w:szCs w:val="28"/>
        </w:rPr>
        <w:t>.58%</w:t>
      </w:r>
      <w:r w:rsidR="00A83DE1">
        <w:rPr>
          <w:rFonts w:ascii="標楷體" w:eastAsia="標楷體" w:hAnsi="標楷體" w:hint="eastAsia"/>
          <w:sz w:val="28"/>
          <w:szCs w:val="28"/>
        </w:rPr>
        <w:t>)</w:t>
      </w:r>
      <w:r w:rsidR="009406E4">
        <w:rPr>
          <w:rFonts w:ascii="標楷體" w:eastAsia="標楷體" w:hAnsi="標楷體" w:hint="eastAsia"/>
          <w:sz w:val="28"/>
          <w:szCs w:val="28"/>
        </w:rPr>
        <w:t>、八德</w:t>
      </w:r>
      <w:r w:rsidR="00A83DE1">
        <w:rPr>
          <w:rFonts w:ascii="標楷體" w:eastAsia="標楷體" w:hAnsi="標楷體" w:hint="eastAsia"/>
          <w:sz w:val="28"/>
          <w:szCs w:val="28"/>
        </w:rPr>
        <w:t>區</w:t>
      </w:r>
      <w:r w:rsidR="009406E4">
        <w:rPr>
          <w:rFonts w:ascii="標楷體" w:eastAsia="標楷體" w:hAnsi="標楷體" w:hint="eastAsia"/>
          <w:sz w:val="28"/>
          <w:szCs w:val="28"/>
        </w:rPr>
        <w:t>(57.39</w:t>
      </w:r>
      <w:r w:rsidR="00FD413E">
        <w:rPr>
          <w:rFonts w:ascii="標楷體" w:eastAsia="標楷體" w:hAnsi="標楷體" w:hint="eastAsia"/>
          <w:sz w:val="28"/>
          <w:szCs w:val="28"/>
        </w:rPr>
        <w:t>%</w:t>
      </w:r>
      <w:r w:rsidR="00A83DE1">
        <w:rPr>
          <w:rFonts w:ascii="標楷體" w:eastAsia="標楷體" w:hAnsi="標楷體" w:hint="eastAsia"/>
          <w:sz w:val="28"/>
          <w:szCs w:val="28"/>
        </w:rPr>
        <w:t>)</w:t>
      </w:r>
      <w:r w:rsidR="009406E4">
        <w:rPr>
          <w:rFonts w:ascii="標楷體" w:eastAsia="標楷體" w:hAnsi="標楷體" w:hint="eastAsia"/>
          <w:sz w:val="28"/>
          <w:szCs w:val="28"/>
        </w:rPr>
        <w:t>、桃園</w:t>
      </w:r>
      <w:r w:rsidR="00A83DE1">
        <w:rPr>
          <w:rFonts w:ascii="標楷體" w:eastAsia="標楷體" w:hAnsi="標楷體" w:hint="eastAsia"/>
          <w:sz w:val="28"/>
          <w:szCs w:val="28"/>
        </w:rPr>
        <w:t>區</w:t>
      </w:r>
      <w:r w:rsidR="009406E4">
        <w:rPr>
          <w:rFonts w:ascii="標楷體" w:eastAsia="標楷體" w:hAnsi="標楷體" w:hint="eastAsia"/>
          <w:sz w:val="28"/>
          <w:szCs w:val="28"/>
        </w:rPr>
        <w:t>(56.84</w:t>
      </w:r>
      <w:r w:rsidR="00FD413E">
        <w:rPr>
          <w:rFonts w:ascii="標楷體" w:eastAsia="標楷體" w:hAnsi="標楷體" w:hint="eastAsia"/>
          <w:sz w:val="28"/>
          <w:szCs w:val="28"/>
        </w:rPr>
        <w:t>%</w:t>
      </w:r>
      <w:r w:rsidR="00A83DE1">
        <w:rPr>
          <w:rFonts w:ascii="標楷體" w:eastAsia="標楷體" w:hAnsi="標楷體" w:hint="eastAsia"/>
          <w:sz w:val="28"/>
          <w:szCs w:val="28"/>
        </w:rPr>
        <w:t>)</w:t>
      </w:r>
      <w:r w:rsidR="00CC4C8B" w:rsidRPr="00C032EB">
        <w:rPr>
          <w:rFonts w:ascii="標楷體" w:eastAsia="標楷體" w:hAnsi="標楷體" w:hint="eastAsia"/>
          <w:sz w:val="28"/>
          <w:szCs w:val="28"/>
        </w:rPr>
        <w:t>。</w:t>
      </w:r>
    </w:p>
    <w:p w:rsidR="000403FE" w:rsidRDefault="00214631" w:rsidP="00896246">
      <w:pPr>
        <w:pStyle w:val="a3"/>
        <w:tabs>
          <w:tab w:val="left" w:pos="567"/>
        </w:tabs>
        <w:spacing w:line="440" w:lineRule="exact"/>
        <w:ind w:leftChars="0" w:left="425" w:rightChars="96" w:right="230" w:firstLineChars="195" w:firstLine="39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3324225" cy="320040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DB62B1" w:rsidRDefault="00E02A61" w:rsidP="001B1F6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近一年各重點都會區住宅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交易筆棟數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統計表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0;margin-top:.55pt;width:261.75pt;height:25.2pt;z-index:251695104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" filled="f" stroked="f">
                <v:textbox style="mso-fit-shape-to-text:t">
                  <w:txbxContent>
                    <w:p w:rsidR="00E02A61" w:rsidRPr="00DB62B1" w:rsidRDefault="00E02A61" w:rsidP="001B1F6E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表</w:t>
                      </w:r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近一年各重點都會區住宅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交易筆棟數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統計表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17145</wp:posOffset>
                </wp:positionV>
                <wp:extent cx="1097280" cy="320040"/>
                <wp:effectExtent l="0" t="0" r="0" b="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Default="00E02A61" w:rsidP="002F4824">
                            <w:pPr>
                              <w:ind w:firstLineChars="50" w:firstLine="100"/>
                            </w:pPr>
                            <w:r w:rsidRPr="00DC082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單位：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筆棟數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29.35pt;margin-top:1.35pt;width:86.4pt;height:25.2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" filled="f" stroked="f">
                <v:textbox style="mso-fit-shape-to-text:t">
                  <w:txbxContent>
                    <w:p w:rsidR="00E02A61" w:rsidRDefault="00E02A61" w:rsidP="00D340EE">
                      <w:pPr>
                        <w:ind w:firstLineChars="50" w:firstLine="100"/>
                      </w:pPr>
                      <w:r w:rsidRPr="00DC082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單位：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筆棟數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-5"/>
        <w:tblpPr w:leftFromText="180" w:rightFromText="180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1147"/>
        <w:gridCol w:w="1153"/>
        <w:gridCol w:w="1154"/>
        <w:gridCol w:w="1153"/>
        <w:gridCol w:w="1154"/>
        <w:gridCol w:w="1153"/>
        <w:gridCol w:w="1154"/>
      </w:tblGrid>
      <w:tr w:rsidR="00D56C84" w:rsidRPr="00FF524A" w:rsidTr="00B37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</w:tcPr>
          <w:p w:rsidR="00D56C84" w:rsidRPr="00F94F90" w:rsidRDefault="00D56C84" w:rsidP="00D56C84">
            <w:pPr>
              <w:jc w:val="center"/>
              <w:rPr>
                <w:color w:val="000000" w:themeColor="text1"/>
              </w:rPr>
            </w:pPr>
            <w:r w:rsidRPr="00F94F90">
              <w:rPr>
                <w:color w:val="000000" w:themeColor="text1"/>
              </w:rPr>
              <w:br w:type="page"/>
            </w:r>
            <w:r w:rsidRPr="00F94F90">
              <w:rPr>
                <w:rFonts w:hint="eastAsia"/>
                <w:color w:val="000000" w:themeColor="text1"/>
              </w:rPr>
              <w:t>年月</w:t>
            </w:r>
          </w:p>
        </w:tc>
        <w:tc>
          <w:tcPr>
            <w:tcW w:w="1153" w:type="dxa"/>
          </w:tcPr>
          <w:p w:rsidR="00D56C84" w:rsidRPr="008B30A2" w:rsidRDefault="00D56C84" w:rsidP="00D5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0A2">
              <w:rPr>
                <w:rFonts w:hint="eastAsia"/>
                <w:color w:val="000000" w:themeColor="text1"/>
              </w:rPr>
              <w:t>八德區</w:t>
            </w:r>
          </w:p>
        </w:tc>
        <w:tc>
          <w:tcPr>
            <w:tcW w:w="1154" w:type="dxa"/>
          </w:tcPr>
          <w:p w:rsidR="00D56C84" w:rsidRPr="008B30A2" w:rsidRDefault="00D56C84" w:rsidP="00D5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0A2">
              <w:rPr>
                <w:rFonts w:hint="eastAsia"/>
                <w:color w:val="000000" w:themeColor="text1"/>
              </w:rPr>
              <w:t>中壢區</w:t>
            </w:r>
          </w:p>
        </w:tc>
        <w:tc>
          <w:tcPr>
            <w:tcW w:w="1153" w:type="dxa"/>
          </w:tcPr>
          <w:p w:rsidR="00D56C84" w:rsidRPr="008B30A2" w:rsidRDefault="00D56C84" w:rsidP="00D5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0A2">
              <w:rPr>
                <w:rFonts w:hint="eastAsia"/>
                <w:color w:val="000000" w:themeColor="text1"/>
              </w:rPr>
              <w:t>平鎮區</w:t>
            </w:r>
          </w:p>
        </w:tc>
        <w:tc>
          <w:tcPr>
            <w:tcW w:w="1154" w:type="dxa"/>
          </w:tcPr>
          <w:p w:rsidR="00D56C84" w:rsidRPr="008B30A2" w:rsidRDefault="00D56C84" w:rsidP="00D5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0A2">
              <w:rPr>
                <w:rFonts w:hint="eastAsia"/>
                <w:color w:val="000000" w:themeColor="text1"/>
              </w:rPr>
              <w:t>桃園區</w:t>
            </w:r>
          </w:p>
        </w:tc>
        <w:tc>
          <w:tcPr>
            <w:tcW w:w="1153" w:type="dxa"/>
          </w:tcPr>
          <w:p w:rsidR="00D56C84" w:rsidRPr="008B30A2" w:rsidRDefault="00D56C84" w:rsidP="00D5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0A2">
              <w:rPr>
                <w:rFonts w:hint="eastAsia"/>
                <w:color w:val="000000" w:themeColor="text1"/>
              </w:rPr>
              <w:t>龜山區</w:t>
            </w:r>
          </w:p>
        </w:tc>
        <w:tc>
          <w:tcPr>
            <w:tcW w:w="1154" w:type="dxa"/>
          </w:tcPr>
          <w:p w:rsidR="00D56C84" w:rsidRPr="008B30A2" w:rsidRDefault="00D56C84" w:rsidP="00D5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B30A2">
              <w:rPr>
                <w:rFonts w:hint="eastAsia"/>
                <w:color w:val="000000" w:themeColor="text1"/>
              </w:rPr>
              <w:t>蘆竹區</w:t>
            </w:r>
          </w:p>
        </w:tc>
      </w:tr>
      <w:tr w:rsidR="00DA19B4" w:rsidRPr="00FF524A" w:rsidTr="00E0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shd w:val="clear" w:color="auto" w:fill="FBD4B4" w:themeFill="accent6" w:themeFillTint="66"/>
          </w:tcPr>
          <w:p w:rsidR="00DA19B4" w:rsidRPr="00B05244" w:rsidRDefault="00DA19B4" w:rsidP="006E7CE0">
            <w:pPr>
              <w:ind w:rightChars="96" w:right="230"/>
              <w:rPr>
                <w:b w:val="0"/>
                <w:color w:val="000000" w:themeColor="text1"/>
              </w:rPr>
            </w:pPr>
            <w:r w:rsidRPr="00B05244">
              <w:rPr>
                <w:b w:val="0"/>
                <w:color w:val="000000" w:themeColor="text1"/>
              </w:rPr>
              <w:t>10</w:t>
            </w:r>
            <w:r>
              <w:rPr>
                <w:rFonts w:hint="eastAsia"/>
                <w:b w:val="0"/>
                <w:color w:val="000000" w:themeColor="text1"/>
              </w:rPr>
              <w:t>6</w:t>
            </w:r>
            <w:r w:rsidRPr="00B05244">
              <w:rPr>
                <w:rFonts w:hint="eastAsia"/>
                <w:b w:val="0"/>
                <w:color w:val="000000" w:themeColor="text1"/>
              </w:rPr>
              <w:t>/</w:t>
            </w:r>
            <w:r>
              <w:rPr>
                <w:rFonts w:hint="eastAsia"/>
                <w:b w:val="0"/>
                <w:color w:val="000000" w:themeColor="text1"/>
              </w:rPr>
              <w:t>01</w:t>
            </w:r>
          </w:p>
        </w:tc>
        <w:tc>
          <w:tcPr>
            <w:tcW w:w="1153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150</w:t>
            </w:r>
          </w:p>
        </w:tc>
        <w:tc>
          <w:tcPr>
            <w:tcW w:w="1154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382</w:t>
            </w:r>
          </w:p>
        </w:tc>
        <w:tc>
          <w:tcPr>
            <w:tcW w:w="1153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175</w:t>
            </w:r>
          </w:p>
        </w:tc>
        <w:tc>
          <w:tcPr>
            <w:tcW w:w="1154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328</w:t>
            </w:r>
          </w:p>
        </w:tc>
        <w:tc>
          <w:tcPr>
            <w:tcW w:w="1153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105</w:t>
            </w:r>
          </w:p>
        </w:tc>
        <w:tc>
          <w:tcPr>
            <w:tcW w:w="1154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197</w:t>
            </w:r>
          </w:p>
        </w:tc>
      </w:tr>
      <w:tr w:rsidR="00DA19B4" w:rsidRPr="00FF524A" w:rsidTr="00E02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rPr>
                <w:b w:val="0"/>
                <w:color w:val="000000" w:themeColor="text1"/>
              </w:rPr>
            </w:pPr>
            <w:r w:rsidRPr="00DA19B4">
              <w:rPr>
                <w:b w:val="0"/>
                <w:color w:val="000000" w:themeColor="text1"/>
              </w:rPr>
              <w:t>105/12</w:t>
            </w:r>
          </w:p>
        </w:tc>
        <w:tc>
          <w:tcPr>
            <w:tcW w:w="1153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352</w:t>
            </w:r>
          </w:p>
        </w:tc>
        <w:tc>
          <w:tcPr>
            <w:tcW w:w="1154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1143</w:t>
            </w:r>
          </w:p>
        </w:tc>
        <w:tc>
          <w:tcPr>
            <w:tcW w:w="1153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379</w:t>
            </w:r>
          </w:p>
        </w:tc>
        <w:tc>
          <w:tcPr>
            <w:tcW w:w="1154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760</w:t>
            </w:r>
          </w:p>
        </w:tc>
        <w:tc>
          <w:tcPr>
            <w:tcW w:w="1153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226</w:t>
            </w:r>
          </w:p>
        </w:tc>
        <w:tc>
          <w:tcPr>
            <w:tcW w:w="1154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310</w:t>
            </w:r>
          </w:p>
        </w:tc>
      </w:tr>
      <w:tr w:rsidR="00DA19B4" w:rsidRPr="00FF524A" w:rsidTr="00E0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</w:tcPr>
          <w:p w:rsidR="00DA19B4" w:rsidRPr="00DA19B4" w:rsidRDefault="00DA19B4" w:rsidP="00DA19B4">
            <w:pPr>
              <w:ind w:rightChars="96" w:right="230"/>
              <w:rPr>
                <w:b w:val="0"/>
                <w:color w:val="000000" w:themeColor="text1"/>
              </w:rPr>
            </w:pPr>
            <w:r w:rsidRPr="00DA19B4">
              <w:rPr>
                <w:b w:val="0"/>
                <w:color w:val="000000" w:themeColor="text1"/>
              </w:rPr>
              <w:t>105/11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448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1117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356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973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206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378</w:t>
            </w:r>
          </w:p>
        </w:tc>
      </w:tr>
      <w:tr w:rsidR="00DA19B4" w:rsidRPr="00FF524A" w:rsidTr="00E02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</w:tcPr>
          <w:p w:rsidR="00DA19B4" w:rsidRPr="00DA19B4" w:rsidRDefault="00DA19B4" w:rsidP="00DA19B4">
            <w:pPr>
              <w:ind w:rightChars="96" w:right="230"/>
              <w:rPr>
                <w:b w:val="0"/>
                <w:color w:val="000000" w:themeColor="text1"/>
              </w:rPr>
            </w:pPr>
            <w:r w:rsidRPr="00DA19B4">
              <w:rPr>
                <w:b w:val="0"/>
                <w:color w:val="000000" w:themeColor="text1"/>
              </w:rPr>
              <w:t>105/10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385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1579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391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872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269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319</w:t>
            </w:r>
          </w:p>
        </w:tc>
      </w:tr>
      <w:tr w:rsidR="00DA19B4" w:rsidRPr="00FF524A" w:rsidTr="00E0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</w:tcPr>
          <w:p w:rsidR="00DA19B4" w:rsidRPr="00DA19B4" w:rsidRDefault="00DA19B4" w:rsidP="00DA19B4">
            <w:pPr>
              <w:ind w:rightChars="96" w:right="230"/>
              <w:rPr>
                <w:b w:val="0"/>
                <w:color w:val="000000" w:themeColor="text1"/>
              </w:rPr>
            </w:pPr>
            <w:r w:rsidRPr="00DA19B4">
              <w:rPr>
                <w:b w:val="0"/>
                <w:color w:val="000000" w:themeColor="text1"/>
              </w:rPr>
              <w:t>105/09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440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1005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378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959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201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276</w:t>
            </w:r>
          </w:p>
        </w:tc>
      </w:tr>
      <w:tr w:rsidR="00DA19B4" w:rsidRPr="00FF524A" w:rsidTr="00E02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</w:tcPr>
          <w:p w:rsidR="00DA19B4" w:rsidRPr="00DA19B4" w:rsidRDefault="00DA19B4" w:rsidP="00DA19B4">
            <w:pPr>
              <w:ind w:rightChars="96" w:right="230"/>
              <w:rPr>
                <w:b w:val="0"/>
                <w:color w:val="000000" w:themeColor="text1"/>
              </w:rPr>
            </w:pPr>
            <w:r w:rsidRPr="00DA19B4">
              <w:rPr>
                <w:b w:val="0"/>
                <w:color w:val="000000" w:themeColor="text1"/>
              </w:rPr>
              <w:t>105/08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528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957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348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921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235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254</w:t>
            </w:r>
          </w:p>
        </w:tc>
      </w:tr>
      <w:tr w:rsidR="00DA19B4" w:rsidRPr="00FF524A" w:rsidTr="00E0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</w:tcPr>
          <w:p w:rsidR="00DA19B4" w:rsidRPr="00DA19B4" w:rsidRDefault="00DA19B4" w:rsidP="00DA19B4">
            <w:pPr>
              <w:ind w:rightChars="96" w:right="230"/>
              <w:rPr>
                <w:b w:val="0"/>
                <w:color w:val="000000" w:themeColor="text1"/>
              </w:rPr>
            </w:pPr>
            <w:r w:rsidRPr="00DA19B4">
              <w:rPr>
                <w:b w:val="0"/>
                <w:color w:val="000000" w:themeColor="text1"/>
              </w:rPr>
              <w:t>105/07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465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1082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418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1079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737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338</w:t>
            </w:r>
          </w:p>
        </w:tc>
      </w:tr>
      <w:tr w:rsidR="00DA19B4" w:rsidRPr="00FF524A" w:rsidTr="00E02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</w:tcPr>
          <w:p w:rsidR="00DA19B4" w:rsidRPr="00DA19B4" w:rsidRDefault="00DA19B4" w:rsidP="00DA19B4">
            <w:pPr>
              <w:ind w:rightChars="96" w:right="230"/>
              <w:rPr>
                <w:b w:val="0"/>
                <w:color w:val="000000" w:themeColor="text1"/>
              </w:rPr>
            </w:pPr>
            <w:r w:rsidRPr="00DA19B4">
              <w:rPr>
                <w:b w:val="0"/>
                <w:color w:val="000000" w:themeColor="text1"/>
              </w:rPr>
              <w:t>105/06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579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1116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400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978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577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355</w:t>
            </w:r>
          </w:p>
        </w:tc>
      </w:tr>
      <w:tr w:rsidR="00DA19B4" w:rsidRPr="00FF524A" w:rsidTr="00E0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</w:tcPr>
          <w:p w:rsidR="00DA19B4" w:rsidRPr="00DA19B4" w:rsidRDefault="00DA19B4" w:rsidP="00DA19B4">
            <w:pPr>
              <w:ind w:rightChars="96" w:right="230"/>
              <w:rPr>
                <w:b w:val="0"/>
                <w:color w:val="000000" w:themeColor="text1"/>
              </w:rPr>
            </w:pPr>
            <w:r w:rsidRPr="00DA19B4">
              <w:rPr>
                <w:b w:val="0"/>
                <w:color w:val="000000" w:themeColor="text1"/>
              </w:rPr>
              <w:t>105/05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515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1008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502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1217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2685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411</w:t>
            </w:r>
          </w:p>
        </w:tc>
      </w:tr>
      <w:tr w:rsidR="00DA19B4" w:rsidRPr="00FF524A" w:rsidTr="00E02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</w:tcPr>
          <w:p w:rsidR="00DA19B4" w:rsidRPr="00DA19B4" w:rsidRDefault="00DA19B4" w:rsidP="00DA19B4">
            <w:pPr>
              <w:ind w:rightChars="96" w:right="230"/>
              <w:rPr>
                <w:b w:val="0"/>
                <w:color w:val="000000" w:themeColor="text1"/>
              </w:rPr>
            </w:pPr>
            <w:r w:rsidRPr="00DA19B4">
              <w:rPr>
                <w:b w:val="0"/>
                <w:color w:val="000000" w:themeColor="text1"/>
              </w:rPr>
              <w:t>105/04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424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840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379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1076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705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316</w:t>
            </w:r>
          </w:p>
        </w:tc>
      </w:tr>
      <w:tr w:rsidR="00DA19B4" w:rsidRPr="00FF524A" w:rsidTr="00E0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</w:tcPr>
          <w:p w:rsidR="00DA19B4" w:rsidRPr="00DA19B4" w:rsidRDefault="00DA19B4" w:rsidP="00DA19B4">
            <w:pPr>
              <w:ind w:rightChars="96" w:right="230"/>
              <w:rPr>
                <w:b w:val="0"/>
                <w:color w:val="000000" w:themeColor="text1"/>
              </w:rPr>
            </w:pPr>
            <w:r w:rsidRPr="00DA19B4">
              <w:rPr>
                <w:b w:val="0"/>
                <w:color w:val="000000" w:themeColor="text1"/>
              </w:rPr>
              <w:t>105/03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371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843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642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1001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1879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312</w:t>
            </w:r>
          </w:p>
        </w:tc>
      </w:tr>
      <w:tr w:rsidR="00DA19B4" w:rsidRPr="00FF524A" w:rsidTr="00E02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</w:tcPr>
          <w:p w:rsidR="00DA19B4" w:rsidRPr="00DA19B4" w:rsidRDefault="00DA19B4" w:rsidP="00DA19B4">
            <w:pPr>
              <w:ind w:rightChars="96" w:right="230"/>
              <w:rPr>
                <w:b w:val="0"/>
                <w:color w:val="000000" w:themeColor="text1"/>
              </w:rPr>
            </w:pPr>
            <w:r w:rsidRPr="00DA19B4">
              <w:rPr>
                <w:b w:val="0"/>
                <w:color w:val="000000" w:themeColor="text1"/>
              </w:rPr>
              <w:t>105/02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185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371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160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443</w:t>
            </w:r>
          </w:p>
        </w:tc>
        <w:tc>
          <w:tcPr>
            <w:tcW w:w="1153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116</w:t>
            </w:r>
          </w:p>
        </w:tc>
        <w:tc>
          <w:tcPr>
            <w:tcW w:w="1154" w:type="dxa"/>
          </w:tcPr>
          <w:p w:rsidR="00DA19B4" w:rsidRPr="00DA19B4" w:rsidRDefault="00DA19B4" w:rsidP="00DA19B4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139</w:t>
            </w:r>
          </w:p>
        </w:tc>
      </w:tr>
      <w:tr w:rsidR="00DA19B4" w:rsidRPr="00FF524A" w:rsidTr="00E0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rPr>
                <w:b w:val="0"/>
                <w:color w:val="000000" w:themeColor="text1"/>
              </w:rPr>
            </w:pPr>
            <w:r w:rsidRPr="00DA19B4">
              <w:rPr>
                <w:b w:val="0"/>
                <w:color w:val="000000" w:themeColor="text1"/>
              </w:rPr>
              <w:t>105/01</w:t>
            </w:r>
          </w:p>
        </w:tc>
        <w:tc>
          <w:tcPr>
            <w:tcW w:w="1153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265</w:t>
            </w:r>
          </w:p>
        </w:tc>
        <w:tc>
          <w:tcPr>
            <w:tcW w:w="1154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696</w:t>
            </w:r>
          </w:p>
        </w:tc>
        <w:tc>
          <w:tcPr>
            <w:tcW w:w="1153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297</w:t>
            </w:r>
          </w:p>
        </w:tc>
        <w:tc>
          <w:tcPr>
            <w:tcW w:w="1154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609</w:t>
            </w:r>
          </w:p>
        </w:tc>
        <w:tc>
          <w:tcPr>
            <w:tcW w:w="1153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175</w:t>
            </w:r>
          </w:p>
        </w:tc>
        <w:tc>
          <w:tcPr>
            <w:tcW w:w="1154" w:type="dxa"/>
            <w:shd w:val="clear" w:color="auto" w:fill="FBD4B4" w:themeFill="accent6" w:themeFillTint="66"/>
          </w:tcPr>
          <w:p w:rsidR="00DA19B4" w:rsidRPr="00DA19B4" w:rsidRDefault="00DA19B4" w:rsidP="00DA19B4">
            <w:pPr>
              <w:ind w:rightChars="96" w:right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19B4">
              <w:rPr>
                <w:color w:val="000000"/>
              </w:rPr>
              <w:t>235</w:t>
            </w:r>
          </w:p>
        </w:tc>
      </w:tr>
      <w:tr w:rsidR="00912C8C" w:rsidRPr="00FF524A" w:rsidTr="00B37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</w:tcPr>
          <w:p w:rsidR="00912C8C" w:rsidRPr="00F94F90" w:rsidRDefault="00912C8C" w:rsidP="00896246">
            <w:pPr>
              <w:ind w:rightChars="96" w:right="230"/>
              <w:jc w:val="center"/>
              <w:rPr>
                <w:b w:val="0"/>
                <w:color w:val="000000" w:themeColor="text1"/>
              </w:rPr>
            </w:pPr>
            <w:r w:rsidRPr="00F94F90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153" w:type="dxa"/>
          </w:tcPr>
          <w:p w:rsidR="00912C8C" w:rsidRPr="008B30A2" w:rsidRDefault="00A96805" w:rsidP="00896246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Cs/>
                <w:color w:val="000000" w:themeColor="text1"/>
                <w:szCs w:val="24"/>
              </w:rPr>
            </w:pPr>
            <w:r w:rsidRPr="00A96805">
              <w:rPr>
                <w:bCs/>
                <w:color w:val="000000" w:themeColor="text1"/>
              </w:rPr>
              <w:t>5</w:t>
            </w:r>
            <w:r w:rsidR="00B65891">
              <w:rPr>
                <w:rFonts w:hint="eastAsia"/>
                <w:bCs/>
                <w:color w:val="000000" w:themeColor="text1"/>
              </w:rPr>
              <w:t>,</w:t>
            </w:r>
            <w:r w:rsidR="00DA19B4">
              <w:rPr>
                <w:rFonts w:hint="eastAsia"/>
                <w:bCs/>
                <w:color w:val="000000" w:themeColor="text1"/>
              </w:rPr>
              <w:t>107</w:t>
            </w:r>
          </w:p>
        </w:tc>
        <w:tc>
          <w:tcPr>
            <w:tcW w:w="1154" w:type="dxa"/>
          </w:tcPr>
          <w:p w:rsidR="00912C8C" w:rsidRPr="00E00F17" w:rsidRDefault="00A96805" w:rsidP="00896246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6805">
              <w:rPr>
                <w:b/>
                <w:color w:val="FF0000"/>
              </w:rPr>
              <w:t>12</w:t>
            </w:r>
            <w:r w:rsidR="00B65891">
              <w:rPr>
                <w:rFonts w:hint="eastAsia"/>
                <w:b/>
                <w:color w:val="FF0000"/>
              </w:rPr>
              <w:t>,</w:t>
            </w:r>
            <w:r w:rsidR="00DA19B4">
              <w:rPr>
                <w:rFonts w:hint="eastAsia"/>
                <w:b/>
                <w:color w:val="FF0000"/>
              </w:rPr>
              <w:t>139</w:t>
            </w:r>
          </w:p>
        </w:tc>
        <w:tc>
          <w:tcPr>
            <w:tcW w:w="1153" w:type="dxa"/>
          </w:tcPr>
          <w:p w:rsidR="00912C8C" w:rsidRPr="00E00F17" w:rsidRDefault="00B65891" w:rsidP="00896246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B65891">
              <w:rPr>
                <w:bCs/>
                <w:color w:val="000000" w:themeColor="text1"/>
              </w:rPr>
              <w:t>4</w:t>
            </w:r>
            <w:r>
              <w:rPr>
                <w:rFonts w:hint="eastAsia"/>
                <w:bCs/>
                <w:color w:val="000000" w:themeColor="text1"/>
              </w:rPr>
              <w:t>,</w:t>
            </w:r>
            <w:r w:rsidR="00DA19B4">
              <w:rPr>
                <w:rFonts w:hint="eastAsia"/>
                <w:bCs/>
                <w:color w:val="000000" w:themeColor="text1"/>
              </w:rPr>
              <w:t>825</w:t>
            </w:r>
          </w:p>
        </w:tc>
        <w:tc>
          <w:tcPr>
            <w:tcW w:w="1154" w:type="dxa"/>
          </w:tcPr>
          <w:p w:rsidR="00912C8C" w:rsidRPr="00E00F17" w:rsidRDefault="00B65891" w:rsidP="00896246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B65891">
              <w:rPr>
                <w:b/>
                <w:color w:val="FF0000"/>
              </w:rPr>
              <w:t>11</w:t>
            </w:r>
            <w:r>
              <w:rPr>
                <w:rFonts w:hint="eastAsia"/>
                <w:b/>
                <w:color w:val="FF0000"/>
              </w:rPr>
              <w:t>,</w:t>
            </w:r>
            <w:r w:rsidR="00DA19B4">
              <w:rPr>
                <w:rFonts w:hint="eastAsia"/>
                <w:b/>
                <w:color w:val="FF0000"/>
              </w:rPr>
              <w:t>216</w:t>
            </w:r>
          </w:p>
        </w:tc>
        <w:tc>
          <w:tcPr>
            <w:tcW w:w="1153" w:type="dxa"/>
          </w:tcPr>
          <w:p w:rsidR="00912C8C" w:rsidRPr="008B30A2" w:rsidRDefault="00B65891" w:rsidP="00896246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65891">
              <w:rPr>
                <w:b/>
                <w:color w:val="FF0000"/>
              </w:rPr>
              <w:t>8</w:t>
            </w:r>
            <w:r>
              <w:rPr>
                <w:rFonts w:hint="eastAsia"/>
                <w:b/>
                <w:color w:val="FF0000"/>
              </w:rPr>
              <w:t>,</w:t>
            </w:r>
            <w:r w:rsidR="00DA19B4">
              <w:rPr>
                <w:rFonts w:hint="eastAsia"/>
                <w:b/>
                <w:color w:val="FF0000"/>
              </w:rPr>
              <w:t>116</w:t>
            </w:r>
          </w:p>
        </w:tc>
        <w:tc>
          <w:tcPr>
            <w:tcW w:w="1154" w:type="dxa"/>
          </w:tcPr>
          <w:p w:rsidR="00912C8C" w:rsidRPr="008B30A2" w:rsidRDefault="00B65891" w:rsidP="00896246">
            <w:pPr>
              <w:ind w:rightChars="96" w:right="2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65891">
              <w:rPr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,</w:t>
            </w:r>
            <w:r w:rsidR="00DA19B4">
              <w:rPr>
                <w:rFonts w:hint="eastAsia"/>
                <w:color w:val="000000" w:themeColor="text1"/>
              </w:rPr>
              <w:t>840</w:t>
            </w:r>
          </w:p>
        </w:tc>
      </w:tr>
    </w:tbl>
    <w:p w:rsidR="00C62F47" w:rsidRDefault="004D2F9E" w:rsidP="00896246">
      <w:pPr>
        <w:widowControl/>
        <w:spacing w:line="380" w:lineRule="exact"/>
        <w:ind w:leftChars="177" w:left="425" w:rightChars="96" w:right="230"/>
        <w:rPr>
          <w:rFonts w:ascii="微軟正黑體" w:eastAsia="微軟正黑體" w:hAnsi="微軟正黑體"/>
          <w:sz w:val="20"/>
          <w:szCs w:val="20"/>
        </w:rPr>
      </w:pPr>
      <w:proofErr w:type="gramStart"/>
      <w:r w:rsidRPr="00710D73">
        <w:rPr>
          <w:rFonts w:ascii="微軟正黑體" w:eastAsia="微軟正黑體" w:hAnsi="微軟正黑體" w:hint="eastAsia"/>
          <w:sz w:val="20"/>
          <w:szCs w:val="20"/>
        </w:rPr>
        <w:t>註</w:t>
      </w:r>
      <w:proofErr w:type="gramEnd"/>
      <w:r w:rsidRPr="00710D73">
        <w:rPr>
          <w:rFonts w:ascii="微軟正黑體" w:eastAsia="微軟正黑體" w:hAnsi="微軟正黑體" w:hint="eastAsia"/>
          <w:sz w:val="20"/>
          <w:szCs w:val="20"/>
        </w:rPr>
        <w:t>：統計樣本包括透天</w:t>
      </w:r>
      <w:proofErr w:type="gramStart"/>
      <w:r w:rsidRPr="00710D73">
        <w:rPr>
          <w:rFonts w:ascii="微軟正黑體" w:eastAsia="微軟正黑體" w:hAnsi="微軟正黑體" w:hint="eastAsia"/>
          <w:sz w:val="20"/>
          <w:szCs w:val="20"/>
        </w:rPr>
        <w:t>厝</w:t>
      </w:r>
      <w:proofErr w:type="gramEnd"/>
      <w:r w:rsidRPr="00710D73">
        <w:rPr>
          <w:rFonts w:ascii="微軟正黑體" w:eastAsia="微軟正黑體" w:hAnsi="微軟正黑體" w:hint="eastAsia"/>
          <w:sz w:val="20"/>
          <w:szCs w:val="20"/>
        </w:rPr>
        <w:t>、大樓、華廈與公寓型態建物。</w:t>
      </w:r>
    </w:p>
    <w:p w:rsidR="00C032EB" w:rsidRDefault="00C032EB" w:rsidP="00CC78F8">
      <w:pPr>
        <w:spacing w:line="400" w:lineRule="exact"/>
        <w:ind w:rightChars="37" w:right="89"/>
        <w:jc w:val="both"/>
        <w:rPr>
          <w:rFonts w:ascii="標楷體" w:eastAsia="標楷體" w:hAnsi="標楷體"/>
          <w:sz w:val="28"/>
          <w:szCs w:val="28"/>
        </w:rPr>
      </w:pPr>
    </w:p>
    <w:p w:rsidR="00C032EB" w:rsidRPr="00C032EB" w:rsidRDefault="00D85A2E" w:rsidP="00C032EB">
      <w:pPr>
        <w:pStyle w:val="a3"/>
        <w:numPr>
          <w:ilvl w:val="0"/>
          <w:numId w:val="3"/>
        </w:numPr>
        <w:spacing w:line="400" w:lineRule="exact"/>
        <w:ind w:leftChars="0" w:rightChars="37" w:right="89"/>
        <w:jc w:val="both"/>
        <w:rPr>
          <w:rFonts w:ascii="標楷體" w:eastAsia="標楷體" w:hAnsi="標楷體"/>
          <w:sz w:val="28"/>
          <w:szCs w:val="28"/>
        </w:rPr>
      </w:pPr>
      <w:r w:rsidRPr="00C032EB">
        <w:rPr>
          <w:rFonts w:ascii="標楷體" w:eastAsia="標楷體" w:hAnsi="標楷體" w:hint="eastAsia"/>
          <w:sz w:val="28"/>
          <w:szCs w:val="28"/>
        </w:rPr>
        <w:lastRenderedPageBreak/>
        <w:t>八德區住宅大樓</w:t>
      </w:r>
      <w:r w:rsidR="00575EA7" w:rsidRPr="00C032EB">
        <w:rPr>
          <w:rFonts w:ascii="標楷體" w:eastAsia="標楷體" w:hAnsi="標楷體" w:hint="eastAsia"/>
          <w:sz w:val="28"/>
          <w:szCs w:val="28"/>
        </w:rPr>
        <w:t>新成</w:t>
      </w:r>
      <w:r w:rsidRPr="00C032EB">
        <w:rPr>
          <w:rFonts w:ascii="標楷體" w:eastAsia="標楷體" w:hAnsi="標楷體" w:hint="eastAsia"/>
          <w:sz w:val="28"/>
          <w:szCs w:val="28"/>
        </w:rPr>
        <w:t>屋</w:t>
      </w:r>
      <w:r w:rsidRPr="00C032EB">
        <w:rPr>
          <w:rStyle w:val="a6"/>
          <w:rFonts w:ascii="標楷體" w:eastAsia="標楷體" w:hAnsi="標楷體"/>
          <w:color w:val="000000" w:themeColor="text1"/>
          <w:sz w:val="28"/>
          <w:szCs w:val="28"/>
        </w:rPr>
        <w:footnoteReference w:id="1"/>
      </w:r>
      <w:r w:rsidRPr="00C032EB">
        <w:rPr>
          <w:rFonts w:ascii="標楷體" w:eastAsia="標楷體" w:hAnsi="標楷體" w:hint="eastAsia"/>
          <w:sz w:val="28"/>
          <w:szCs w:val="28"/>
        </w:rPr>
        <w:t>，</w:t>
      </w:r>
      <w:r w:rsidR="00B45F80">
        <w:rPr>
          <w:rFonts w:ascii="標楷體" w:eastAsia="標楷體" w:hAnsi="標楷體" w:hint="eastAsia"/>
          <w:sz w:val="28"/>
          <w:szCs w:val="28"/>
        </w:rPr>
        <w:t>106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年</w:t>
      </w:r>
      <w:r w:rsidR="00B45F80">
        <w:rPr>
          <w:rFonts w:ascii="標楷體" w:eastAsia="標楷體" w:hAnsi="標楷體" w:hint="eastAsia"/>
          <w:sz w:val="28"/>
          <w:szCs w:val="28"/>
        </w:rPr>
        <w:t>1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="000F6FDD" w:rsidRPr="00C032EB">
        <w:rPr>
          <w:rFonts w:ascii="標楷體" w:eastAsia="標楷體" w:hAnsi="標楷體" w:hint="eastAsia"/>
          <w:sz w:val="28"/>
          <w:szCs w:val="28"/>
        </w:rPr>
        <w:t>交易均價</w:t>
      </w:r>
      <w:r w:rsidR="00B45F80">
        <w:rPr>
          <w:rFonts w:ascii="標楷體" w:eastAsia="標楷體" w:hAnsi="標楷體" w:hint="eastAsia"/>
          <w:sz w:val="28"/>
          <w:szCs w:val="28"/>
        </w:rPr>
        <w:t>20.80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萬元</w:t>
      </w:r>
      <w:proofErr w:type="gramEnd"/>
      <w:r w:rsidR="000F6FDD" w:rsidRPr="00C032EB">
        <w:rPr>
          <w:rFonts w:ascii="標楷體" w:eastAsia="標楷體" w:hAnsi="標楷體" w:hint="eastAsia"/>
          <w:sz w:val="28"/>
          <w:szCs w:val="28"/>
        </w:rPr>
        <w:t>/</w:t>
      </w:r>
      <w:r w:rsidR="00AB5E29">
        <w:rPr>
          <w:rFonts w:ascii="標楷體" w:eastAsia="標楷體" w:hAnsi="標楷體" w:hint="eastAsia"/>
          <w:sz w:val="28"/>
          <w:szCs w:val="28"/>
        </w:rPr>
        <w:t>坪</w:t>
      </w:r>
      <w:r w:rsidR="002F4824">
        <w:rPr>
          <w:rFonts w:ascii="標楷體" w:eastAsia="標楷體" w:hAnsi="標楷體" w:hint="eastAsia"/>
          <w:sz w:val="28"/>
          <w:szCs w:val="28"/>
        </w:rPr>
        <w:t>，</w:t>
      </w:r>
      <w:r w:rsidR="00575EA7" w:rsidRPr="00C032EB">
        <w:rPr>
          <w:rFonts w:ascii="標楷體" w:eastAsia="標楷體" w:hAnsi="標楷體" w:hint="eastAsia"/>
          <w:sz w:val="28"/>
          <w:szCs w:val="28"/>
        </w:rPr>
        <w:t>最近一年</w:t>
      </w:r>
      <w:proofErr w:type="gramStart"/>
      <w:r w:rsidR="00AB5E29">
        <w:rPr>
          <w:rFonts w:ascii="標楷體" w:eastAsia="標楷體" w:hAnsi="標楷體" w:hint="eastAsia"/>
          <w:sz w:val="28"/>
          <w:szCs w:val="28"/>
        </w:rPr>
        <w:t>交易均價</w:t>
      </w:r>
      <w:r w:rsidR="00575EA7" w:rsidRPr="00C032EB">
        <w:rPr>
          <w:rFonts w:ascii="標楷體" w:eastAsia="標楷體" w:hAnsi="標楷體" w:hint="eastAsia"/>
          <w:sz w:val="28"/>
          <w:szCs w:val="28"/>
        </w:rPr>
        <w:t>介於</w:t>
      </w:r>
      <w:proofErr w:type="gramEnd"/>
      <w:r w:rsidR="00AB5E29">
        <w:rPr>
          <w:rFonts w:ascii="標楷體" w:eastAsia="標楷體" w:hAnsi="標楷體" w:hint="eastAsia"/>
          <w:sz w:val="28"/>
          <w:szCs w:val="28"/>
        </w:rPr>
        <w:t>18~21</w:t>
      </w:r>
      <w:r w:rsidR="00575EA7" w:rsidRPr="00C032EB">
        <w:rPr>
          <w:rFonts w:ascii="標楷體" w:eastAsia="標楷體" w:hAnsi="標楷體" w:hint="eastAsia"/>
          <w:sz w:val="28"/>
          <w:szCs w:val="28"/>
        </w:rPr>
        <w:t>萬元/坪間</w:t>
      </w:r>
      <w:r w:rsidR="00E92C53">
        <w:rPr>
          <w:rFonts w:ascii="標楷體" w:eastAsia="標楷體" w:hAnsi="標楷體" w:hint="eastAsia"/>
          <w:sz w:val="28"/>
          <w:szCs w:val="28"/>
        </w:rPr>
        <w:t>；</w:t>
      </w:r>
      <w:r w:rsidRPr="00C032EB">
        <w:rPr>
          <w:rFonts w:ascii="標楷體" w:eastAsia="標楷體" w:hAnsi="標楷體" w:hint="eastAsia"/>
          <w:sz w:val="28"/>
          <w:szCs w:val="28"/>
        </w:rPr>
        <w:t>住宅大樓</w:t>
      </w:r>
      <w:r w:rsidR="00575EA7" w:rsidRPr="00C032EB">
        <w:rPr>
          <w:rFonts w:ascii="標楷體" w:eastAsia="標楷體" w:hAnsi="標楷體" w:hint="eastAsia"/>
          <w:sz w:val="28"/>
          <w:szCs w:val="28"/>
        </w:rPr>
        <w:t>中古</w:t>
      </w:r>
      <w:r w:rsidRPr="00C032EB">
        <w:rPr>
          <w:rFonts w:ascii="標楷體" w:eastAsia="標楷體" w:hAnsi="標楷體" w:hint="eastAsia"/>
          <w:sz w:val="28"/>
          <w:szCs w:val="28"/>
        </w:rPr>
        <w:t>屋</w:t>
      </w:r>
      <w:r w:rsidRPr="00C032EB">
        <w:rPr>
          <w:rStyle w:val="a6"/>
          <w:rFonts w:ascii="標楷體" w:eastAsia="標楷體" w:hAnsi="標楷體"/>
          <w:color w:val="000000" w:themeColor="text1"/>
          <w:sz w:val="28"/>
          <w:szCs w:val="28"/>
        </w:rPr>
        <w:footnoteReference w:id="2"/>
      </w:r>
      <w:r w:rsidRPr="00C032EB">
        <w:rPr>
          <w:rFonts w:ascii="標楷體" w:eastAsia="標楷體" w:hAnsi="標楷體" w:hint="eastAsia"/>
          <w:sz w:val="28"/>
          <w:szCs w:val="28"/>
        </w:rPr>
        <w:t>，</w:t>
      </w:r>
      <w:r w:rsidR="002F4824">
        <w:rPr>
          <w:rFonts w:ascii="標楷體" w:eastAsia="標楷體" w:hAnsi="標楷體" w:hint="eastAsia"/>
          <w:sz w:val="28"/>
          <w:szCs w:val="28"/>
        </w:rPr>
        <w:t>106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年</w:t>
      </w:r>
      <w:r w:rsidR="002F4824">
        <w:rPr>
          <w:rFonts w:ascii="標楷體" w:eastAsia="標楷體" w:hAnsi="標楷體" w:hint="eastAsia"/>
          <w:sz w:val="28"/>
          <w:szCs w:val="28"/>
        </w:rPr>
        <w:t>1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="000F6FDD" w:rsidRPr="00C032EB">
        <w:rPr>
          <w:rFonts w:ascii="標楷體" w:eastAsia="標楷體" w:hAnsi="標楷體" w:hint="eastAsia"/>
          <w:sz w:val="28"/>
          <w:szCs w:val="28"/>
        </w:rPr>
        <w:t>交易均價</w:t>
      </w:r>
      <w:r w:rsidR="00B45F80">
        <w:rPr>
          <w:rFonts w:ascii="標楷體" w:eastAsia="標楷體" w:hAnsi="標楷體" w:hint="eastAsia"/>
          <w:sz w:val="28"/>
          <w:szCs w:val="28"/>
        </w:rPr>
        <w:t>17.21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萬元</w:t>
      </w:r>
      <w:proofErr w:type="gramEnd"/>
      <w:r w:rsidR="000F6FDD" w:rsidRPr="00C032EB">
        <w:rPr>
          <w:rFonts w:ascii="標楷體" w:eastAsia="標楷體" w:hAnsi="標楷體" w:hint="eastAsia"/>
          <w:sz w:val="28"/>
          <w:szCs w:val="28"/>
        </w:rPr>
        <w:t>/坪，</w:t>
      </w:r>
      <w:r w:rsidR="00575EA7" w:rsidRPr="00C032EB">
        <w:rPr>
          <w:rFonts w:ascii="標楷體" w:eastAsia="標楷體" w:hAnsi="標楷體" w:hint="eastAsia"/>
          <w:sz w:val="28"/>
          <w:szCs w:val="28"/>
        </w:rPr>
        <w:t>最近一年</w:t>
      </w:r>
      <w:proofErr w:type="gramStart"/>
      <w:r w:rsidR="00575EA7" w:rsidRPr="00C032EB">
        <w:rPr>
          <w:rFonts w:ascii="標楷體" w:eastAsia="標楷體" w:hAnsi="標楷體" w:hint="eastAsia"/>
          <w:sz w:val="28"/>
          <w:szCs w:val="28"/>
        </w:rPr>
        <w:t>交易均價介於</w:t>
      </w:r>
      <w:proofErr w:type="gramEnd"/>
      <w:r w:rsidR="00B45F80">
        <w:rPr>
          <w:rFonts w:ascii="標楷體" w:eastAsia="標楷體" w:hAnsi="標楷體" w:hint="eastAsia"/>
          <w:sz w:val="28"/>
          <w:szCs w:val="28"/>
        </w:rPr>
        <w:t>15~17</w:t>
      </w:r>
      <w:r w:rsidR="00575EA7" w:rsidRPr="00C032EB">
        <w:rPr>
          <w:rFonts w:ascii="標楷體" w:eastAsia="標楷體" w:hAnsi="標楷體" w:hint="eastAsia"/>
          <w:sz w:val="28"/>
          <w:szCs w:val="28"/>
        </w:rPr>
        <w:t>萬元/坪間</w:t>
      </w:r>
      <w:r w:rsidR="00E92C53">
        <w:rPr>
          <w:rFonts w:ascii="標楷體" w:eastAsia="標楷體" w:hAnsi="標楷體" w:hint="eastAsia"/>
          <w:sz w:val="28"/>
          <w:szCs w:val="28"/>
        </w:rPr>
        <w:t>。</w:t>
      </w:r>
      <w:r w:rsidR="00575EA7" w:rsidRPr="00C032EB">
        <w:rPr>
          <w:rFonts w:ascii="標楷體" w:eastAsia="標楷體" w:hAnsi="標楷體" w:hint="eastAsia"/>
          <w:sz w:val="28"/>
          <w:szCs w:val="28"/>
        </w:rPr>
        <w:t>新成屋及</w:t>
      </w:r>
      <w:proofErr w:type="gramStart"/>
      <w:r w:rsidR="00575EA7" w:rsidRPr="00C032EB">
        <w:rPr>
          <w:rFonts w:ascii="標楷體" w:eastAsia="標楷體" w:hAnsi="標楷體" w:hint="eastAsia"/>
          <w:sz w:val="28"/>
          <w:szCs w:val="28"/>
        </w:rPr>
        <w:t>中古屋均價呈現</w:t>
      </w:r>
      <w:proofErr w:type="gramEnd"/>
      <w:r w:rsidR="00987E16" w:rsidRPr="00C032EB">
        <w:rPr>
          <w:rFonts w:ascii="標楷體" w:eastAsia="標楷體" w:hAnsi="標楷體" w:hint="eastAsia"/>
          <w:sz w:val="28"/>
          <w:szCs w:val="28"/>
        </w:rPr>
        <w:t>平</w:t>
      </w:r>
      <w:r w:rsidR="00575EA7" w:rsidRPr="00C032EB">
        <w:rPr>
          <w:rFonts w:ascii="標楷體" w:eastAsia="標楷體" w:hAnsi="標楷體" w:hint="eastAsia"/>
          <w:sz w:val="28"/>
          <w:szCs w:val="28"/>
        </w:rPr>
        <w:t>穩走勢。</w:t>
      </w:r>
    </w:p>
    <w:p w:rsidR="00002D13" w:rsidRDefault="00002D13" w:rsidP="00214631">
      <w:pPr>
        <w:spacing w:beforeLines="30" w:before="108"/>
        <w:ind w:rightChars="96" w:right="230"/>
        <w:rPr>
          <w:rFonts w:ascii="微軟正黑體" w:eastAsia="微軟正黑體" w:hAnsi="微軟正黑體"/>
          <w:b/>
          <w:sz w:val="28"/>
          <w:szCs w:val="28"/>
        </w:rPr>
      </w:pPr>
      <w:r w:rsidRPr="00002D13">
        <w:rPr>
          <w:rFonts w:ascii="微軟正黑體" w:eastAsia="微軟正黑體" w:hAnsi="微軟正黑體"/>
          <w:b/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65992</wp:posOffset>
            </wp:positionH>
            <wp:positionV relativeFrom="paragraph">
              <wp:posOffset>150495</wp:posOffset>
            </wp:positionV>
            <wp:extent cx="5209457" cy="2108062"/>
            <wp:effectExtent l="0" t="0" r="10795" b="26035"/>
            <wp:wrapNone/>
            <wp:docPr id="10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987E16" w:rsidRDefault="00987E16" w:rsidP="00C032EB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C032EB" w:rsidRDefault="00C032EB" w:rsidP="00C032EB">
      <w:pPr>
        <w:spacing w:line="400" w:lineRule="exact"/>
        <w:ind w:left="574" w:rightChars="37" w:right="89" w:hangingChars="205" w:hanging="574"/>
        <w:jc w:val="both"/>
        <w:rPr>
          <w:rFonts w:ascii="標楷體" w:eastAsia="標楷體" w:hAnsi="標楷體"/>
          <w:sz w:val="28"/>
          <w:szCs w:val="28"/>
        </w:rPr>
      </w:pPr>
    </w:p>
    <w:p w:rsidR="00C032EB" w:rsidRDefault="00C032EB" w:rsidP="00C032EB">
      <w:pPr>
        <w:spacing w:line="400" w:lineRule="exact"/>
        <w:ind w:left="574" w:rightChars="37" w:right="89" w:hangingChars="205" w:hanging="574"/>
        <w:jc w:val="both"/>
        <w:rPr>
          <w:rFonts w:ascii="標楷體" w:eastAsia="標楷體" w:hAnsi="標楷體"/>
          <w:sz w:val="28"/>
          <w:szCs w:val="28"/>
        </w:rPr>
      </w:pPr>
    </w:p>
    <w:p w:rsidR="00C032EB" w:rsidRDefault="00C032EB" w:rsidP="00C032EB">
      <w:pPr>
        <w:spacing w:line="400" w:lineRule="exact"/>
        <w:ind w:left="574" w:rightChars="37" w:right="89" w:hangingChars="205" w:hanging="574"/>
        <w:jc w:val="both"/>
        <w:rPr>
          <w:rFonts w:ascii="標楷體" w:eastAsia="標楷體" w:hAnsi="標楷體"/>
          <w:sz w:val="28"/>
          <w:szCs w:val="28"/>
        </w:rPr>
      </w:pPr>
    </w:p>
    <w:p w:rsidR="00C032EB" w:rsidRDefault="00C032EB" w:rsidP="00C032EB">
      <w:pPr>
        <w:spacing w:line="400" w:lineRule="exact"/>
        <w:ind w:left="574" w:rightChars="37" w:right="89" w:hangingChars="205" w:hanging="574"/>
        <w:jc w:val="both"/>
        <w:rPr>
          <w:rFonts w:ascii="標楷體" w:eastAsia="標楷體" w:hAnsi="標楷體"/>
          <w:sz w:val="28"/>
          <w:szCs w:val="28"/>
        </w:rPr>
      </w:pPr>
    </w:p>
    <w:p w:rsidR="00C032EB" w:rsidRDefault="00C032EB" w:rsidP="00C032EB">
      <w:pPr>
        <w:spacing w:line="400" w:lineRule="exact"/>
        <w:ind w:left="574" w:rightChars="37" w:right="89" w:hangingChars="205" w:hanging="574"/>
        <w:jc w:val="both"/>
        <w:rPr>
          <w:rFonts w:ascii="標楷體" w:eastAsia="標楷體" w:hAnsi="標楷體"/>
          <w:sz w:val="28"/>
          <w:szCs w:val="28"/>
        </w:rPr>
      </w:pPr>
    </w:p>
    <w:p w:rsidR="00C032EB" w:rsidRDefault="00C032EB" w:rsidP="00C032EB">
      <w:pPr>
        <w:spacing w:line="400" w:lineRule="exact"/>
        <w:ind w:left="574" w:rightChars="37" w:right="89" w:hangingChars="205" w:hanging="574"/>
        <w:jc w:val="both"/>
        <w:rPr>
          <w:rFonts w:ascii="標楷體" w:eastAsia="標楷體" w:hAnsi="標楷體"/>
          <w:sz w:val="28"/>
          <w:szCs w:val="28"/>
        </w:rPr>
      </w:pPr>
    </w:p>
    <w:p w:rsidR="00C032EB" w:rsidRDefault="00214631" w:rsidP="00C032EB">
      <w:pPr>
        <w:spacing w:line="400" w:lineRule="exact"/>
        <w:ind w:left="574" w:rightChars="37" w:right="89" w:hangingChars="205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2275840</wp:posOffset>
                </wp:positionH>
                <wp:positionV relativeFrom="paragraph">
                  <wp:posOffset>40005</wp:posOffset>
                </wp:positionV>
                <wp:extent cx="2947670" cy="320040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DB62B1" w:rsidRDefault="00E02A61" w:rsidP="00002D1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八德區住宅大樓新成屋及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中古屋均價走勢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79.2pt;margin-top:3.15pt;width:232.1pt;height:25.2pt;z-index:25170227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" filled="f" stroked="f">
                <v:textbox style="mso-fit-shape-to-text:t">
                  <w:txbxContent>
                    <w:p w:rsidR="00E02A61" w:rsidRPr="00DB62B1" w:rsidRDefault="00E02A61" w:rsidP="00002D13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圖、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八德區住宅大樓新成屋及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中古屋均價走勢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032EB" w:rsidRDefault="00C032EB" w:rsidP="00C032EB">
      <w:pPr>
        <w:spacing w:line="400" w:lineRule="exact"/>
        <w:ind w:left="574" w:rightChars="37" w:right="89" w:hangingChars="205" w:hanging="574"/>
        <w:jc w:val="both"/>
        <w:rPr>
          <w:rFonts w:ascii="標楷體" w:eastAsia="標楷體" w:hAnsi="標楷體"/>
          <w:sz w:val="28"/>
          <w:szCs w:val="28"/>
        </w:rPr>
      </w:pPr>
    </w:p>
    <w:p w:rsidR="00987E16" w:rsidRPr="00C032EB" w:rsidRDefault="00575EA7" w:rsidP="00C032EB">
      <w:pPr>
        <w:pStyle w:val="a3"/>
        <w:numPr>
          <w:ilvl w:val="0"/>
          <w:numId w:val="3"/>
        </w:numPr>
        <w:spacing w:line="400" w:lineRule="exact"/>
        <w:ind w:leftChars="0" w:rightChars="37" w:right="89"/>
        <w:jc w:val="both"/>
        <w:rPr>
          <w:rFonts w:ascii="標楷體" w:eastAsia="標楷體" w:hAnsi="標楷體"/>
          <w:sz w:val="28"/>
          <w:szCs w:val="28"/>
        </w:rPr>
      </w:pPr>
      <w:r w:rsidRPr="00C032EB">
        <w:rPr>
          <w:rFonts w:ascii="標楷體" w:eastAsia="標楷體" w:hAnsi="標楷體" w:hint="eastAsia"/>
          <w:sz w:val="28"/>
          <w:szCs w:val="28"/>
        </w:rPr>
        <w:t>中壢區住宅大樓新成屋，</w:t>
      </w:r>
      <w:r w:rsidR="00E15E7C">
        <w:rPr>
          <w:rFonts w:ascii="標楷體" w:eastAsia="標楷體" w:hAnsi="標楷體" w:hint="eastAsia"/>
          <w:sz w:val="28"/>
          <w:szCs w:val="28"/>
        </w:rPr>
        <w:t>106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年</w:t>
      </w:r>
      <w:r w:rsidR="00E15E7C">
        <w:rPr>
          <w:rFonts w:ascii="標楷體" w:eastAsia="標楷體" w:hAnsi="標楷體" w:hint="eastAsia"/>
          <w:sz w:val="28"/>
          <w:szCs w:val="28"/>
        </w:rPr>
        <w:t>1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="000F6FDD" w:rsidRPr="00C032EB">
        <w:rPr>
          <w:rFonts w:ascii="標楷體" w:eastAsia="標楷體" w:hAnsi="標楷體" w:hint="eastAsia"/>
          <w:sz w:val="28"/>
          <w:szCs w:val="28"/>
        </w:rPr>
        <w:t>交易均價</w:t>
      </w:r>
      <w:r w:rsidR="00E15E7C">
        <w:rPr>
          <w:rFonts w:ascii="標楷體" w:eastAsia="標楷體" w:hAnsi="標楷體" w:hint="eastAsia"/>
          <w:sz w:val="28"/>
          <w:szCs w:val="28"/>
        </w:rPr>
        <w:t>21.94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萬元</w:t>
      </w:r>
      <w:proofErr w:type="gramEnd"/>
      <w:r w:rsidR="000F6FDD" w:rsidRPr="00C032EB">
        <w:rPr>
          <w:rFonts w:ascii="標楷體" w:eastAsia="標楷體" w:hAnsi="標楷體" w:hint="eastAsia"/>
          <w:sz w:val="28"/>
          <w:szCs w:val="28"/>
        </w:rPr>
        <w:t>/坪，</w:t>
      </w:r>
      <w:r w:rsidRPr="00C032EB">
        <w:rPr>
          <w:rFonts w:ascii="標楷體" w:eastAsia="標楷體" w:hAnsi="標楷體" w:hint="eastAsia"/>
          <w:sz w:val="28"/>
          <w:szCs w:val="28"/>
        </w:rPr>
        <w:t>最近一年</w:t>
      </w:r>
      <w:proofErr w:type="gramStart"/>
      <w:r w:rsidRPr="00C032EB">
        <w:rPr>
          <w:rFonts w:ascii="標楷體" w:eastAsia="標楷體" w:hAnsi="標楷體" w:hint="eastAsia"/>
          <w:sz w:val="28"/>
          <w:szCs w:val="28"/>
        </w:rPr>
        <w:t>交易均價</w:t>
      </w:r>
      <w:r w:rsidR="00B34476" w:rsidRPr="00C032EB">
        <w:rPr>
          <w:rFonts w:ascii="標楷體" w:eastAsia="標楷體" w:hAnsi="標楷體" w:hint="eastAsia"/>
          <w:sz w:val="28"/>
          <w:szCs w:val="28"/>
        </w:rPr>
        <w:t>波動</w:t>
      </w:r>
      <w:proofErr w:type="gramEnd"/>
      <w:r w:rsidR="00B34476" w:rsidRPr="00C032EB">
        <w:rPr>
          <w:rFonts w:ascii="標楷體" w:eastAsia="標楷體" w:hAnsi="標楷體" w:hint="eastAsia"/>
          <w:sz w:val="28"/>
          <w:szCs w:val="28"/>
        </w:rPr>
        <w:t>較大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(</w:t>
      </w:r>
      <w:r w:rsidR="00101272">
        <w:rPr>
          <w:rFonts w:ascii="標楷體" w:eastAsia="標楷體" w:hAnsi="標楷體" w:hint="eastAsia"/>
          <w:sz w:val="28"/>
          <w:szCs w:val="28"/>
        </w:rPr>
        <w:t>18~25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萬元/坪)</w:t>
      </w:r>
      <w:r w:rsidRPr="00C032EB">
        <w:rPr>
          <w:rFonts w:ascii="標楷體" w:eastAsia="標楷體" w:hAnsi="標楷體" w:hint="eastAsia"/>
          <w:sz w:val="28"/>
          <w:szCs w:val="28"/>
        </w:rPr>
        <w:t>，</w:t>
      </w:r>
      <w:r w:rsidR="00B34476" w:rsidRPr="00C032EB">
        <w:rPr>
          <w:rFonts w:ascii="標楷體" w:eastAsia="標楷體" w:hAnsi="標楷體" w:hint="eastAsia"/>
          <w:sz w:val="28"/>
          <w:szCs w:val="28"/>
        </w:rPr>
        <w:t>主因係受到新成屋交易區位差異所致</w:t>
      </w:r>
      <w:r w:rsidR="00FA3208">
        <w:rPr>
          <w:rFonts w:ascii="標楷體" w:eastAsia="標楷體" w:hAnsi="標楷體" w:hint="eastAsia"/>
          <w:sz w:val="28"/>
          <w:szCs w:val="28"/>
        </w:rPr>
        <w:t>(</w:t>
      </w:r>
      <w:r w:rsidR="00CC3417">
        <w:rPr>
          <w:rFonts w:ascii="標楷體" w:eastAsia="標楷體" w:hAnsi="標楷體" w:hint="eastAsia"/>
          <w:sz w:val="28"/>
          <w:szCs w:val="28"/>
        </w:rPr>
        <w:t>如105年10月</w:t>
      </w:r>
      <w:r w:rsidR="00101272">
        <w:rPr>
          <w:rFonts w:ascii="標楷體" w:eastAsia="標楷體" w:hAnsi="標楷體" w:hint="eastAsia"/>
          <w:sz w:val="28"/>
          <w:szCs w:val="28"/>
        </w:rPr>
        <w:t>、12月</w:t>
      </w:r>
      <w:r w:rsidR="00CC3417">
        <w:rPr>
          <w:rFonts w:ascii="標楷體" w:eastAsia="標楷體" w:hAnsi="標楷體" w:hint="eastAsia"/>
          <w:sz w:val="28"/>
          <w:szCs w:val="28"/>
        </w:rPr>
        <w:t>新成屋</w:t>
      </w:r>
      <w:r w:rsidR="00FA3208">
        <w:rPr>
          <w:rFonts w:ascii="標楷體" w:eastAsia="標楷體" w:hAnsi="標楷體" w:hint="eastAsia"/>
          <w:sz w:val="28"/>
          <w:szCs w:val="28"/>
        </w:rPr>
        <w:t>交易</w:t>
      </w:r>
      <w:r w:rsidR="00693D25">
        <w:rPr>
          <w:rFonts w:ascii="標楷體" w:eastAsia="標楷體" w:hAnsi="標楷體" w:hint="eastAsia"/>
          <w:sz w:val="28"/>
          <w:szCs w:val="28"/>
        </w:rPr>
        <w:t>以內壢及龍岡地區比重較高，1</w:t>
      </w:r>
      <w:r w:rsidR="00FA3208" w:rsidRPr="00FA3208">
        <w:rPr>
          <w:rFonts w:ascii="標楷體" w:eastAsia="標楷體" w:hAnsi="標楷體" w:hint="eastAsia"/>
          <w:sz w:val="28"/>
          <w:szCs w:val="28"/>
        </w:rPr>
        <w:t>05年2</w:t>
      </w:r>
      <w:r w:rsidR="00693D25">
        <w:rPr>
          <w:rFonts w:ascii="標楷體" w:eastAsia="標楷體" w:hAnsi="標楷體" w:hint="eastAsia"/>
          <w:sz w:val="28"/>
          <w:szCs w:val="28"/>
        </w:rPr>
        <w:t>月、</w:t>
      </w:r>
      <w:r w:rsidR="00FA3208" w:rsidRPr="00FA3208">
        <w:rPr>
          <w:rFonts w:ascii="標楷體" w:eastAsia="標楷體" w:hAnsi="標楷體" w:hint="eastAsia"/>
          <w:sz w:val="28"/>
          <w:szCs w:val="28"/>
        </w:rPr>
        <w:t>7月</w:t>
      </w:r>
      <w:r w:rsidR="00693D25">
        <w:rPr>
          <w:rFonts w:ascii="標楷體" w:eastAsia="標楷體" w:hAnsi="標楷體" w:hint="eastAsia"/>
          <w:sz w:val="28"/>
          <w:szCs w:val="28"/>
        </w:rPr>
        <w:t>及11月</w:t>
      </w:r>
      <w:r w:rsidR="00FA3208">
        <w:rPr>
          <w:rFonts w:ascii="標楷體" w:eastAsia="標楷體" w:hAnsi="標楷體" w:hint="eastAsia"/>
          <w:sz w:val="28"/>
          <w:szCs w:val="28"/>
        </w:rPr>
        <w:t>新成屋交易</w:t>
      </w:r>
      <w:r w:rsidR="00FA3208" w:rsidRPr="00FA3208">
        <w:rPr>
          <w:rFonts w:ascii="標楷體" w:eastAsia="標楷體" w:hAnsi="標楷體" w:hint="eastAsia"/>
          <w:sz w:val="28"/>
          <w:szCs w:val="28"/>
        </w:rPr>
        <w:t>以</w:t>
      </w:r>
      <w:r w:rsidR="00FA3208" w:rsidRPr="00F4428F">
        <w:rPr>
          <w:rFonts w:ascii="標楷體" w:eastAsia="標楷體" w:hAnsi="標楷體" w:hint="eastAsia"/>
          <w:sz w:val="28"/>
          <w:szCs w:val="28"/>
        </w:rPr>
        <w:t>高鐵車站特定區</w:t>
      </w:r>
      <w:r w:rsidR="00FA3208" w:rsidRPr="00FA3208">
        <w:rPr>
          <w:rFonts w:ascii="標楷體" w:eastAsia="標楷體" w:hAnsi="標楷體" w:hint="eastAsia"/>
          <w:sz w:val="28"/>
          <w:szCs w:val="28"/>
        </w:rPr>
        <w:t>比重較高</w:t>
      </w:r>
      <w:r w:rsidR="00EB2443">
        <w:rPr>
          <w:rFonts w:ascii="標楷體" w:eastAsia="標楷體" w:hAnsi="標楷體" w:hint="eastAsia"/>
          <w:sz w:val="28"/>
          <w:szCs w:val="28"/>
        </w:rPr>
        <w:t>)</w:t>
      </w:r>
      <w:r w:rsidR="00E92C53">
        <w:rPr>
          <w:rFonts w:ascii="標楷體" w:eastAsia="標楷體" w:hAnsi="標楷體" w:hint="eastAsia"/>
          <w:sz w:val="28"/>
          <w:szCs w:val="28"/>
        </w:rPr>
        <w:t>；</w:t>
      </w:r>
      <w:r w:rsidRPr="00C032EB">
        <w:rPr>
          <w:rFonts w:ascii="標楷體" w:eastAsia="標楷體" w:hAnsi="標楷體" w:hint="eastAsia"/>
          <w:sz w:val="28"/>
          <w:szCs w:val="28"/>
        </w:rPr>
        <w:t>住宅大樓中古屋，</w:t>
      </w:r>
      <w:r w:rsidR="00E15E7C">
        <w:rPr>
          <w:rFonts w:ascii="標楷體" w:eastAsia="標楷體" w:hAnsi="標楷體" w:hint="eastAsia"/>
          <w:sz w:val="28"/>
          <w:szCs w:val="28"/>
        </w:rPr>
        <w:t>106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年</w:t>
      </w:r>
      <w:r w:rsidR="00E15E7C">
        <w:rPr>
          <w:rFonts w:ascii="標楷體" w:eastAsia="標楷體" w:hAnsi="標楷體" w:hint="eastAsia"/>
          <w:sz w:val="28"/>
          <w:szCs w:val="28"/>
        </w:rPr>
        <w:t>1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="000F6FDD" w:rsidRPr="00C032EB">
        <w:rPr>
          <w:rFonts w:ascii="標楷體" w:eastAsia="標楷體" w:hAnsi="標楷體" w:hint="eastAsia"/>
          <w:sz w:val="28"/>
          <w:szCs w:val="28"/>
        </w:rPr>
        <w:t>交易均價</w:t>
      </w:r>
      <w:r w:rsidR="00101272">
        <w:rPr>
          <w:rFonts w:ascii="標楷體" w:eastAsia="標楷體" w:hAnsi="標楷體" w:hint="eastAsia"/>
          <w:sz w:val="28"/>
          <w:szCs w:val="28"/>
        </w:rPr>
        <w:t>16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.</w:t>
      </w:r>
      <w:r w:rsidR="00101272">
        <w:rPr>
          <w:rFonts w:ascii="標楷體" w:eastAsia="標楷體" w:hAnsi="標楷體" w:hint="eastAsia"/>
          <w:sz w:val="28"/>
          <w:szCs w:val="28"/>
        </w:rPr>
        <w:t>81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萬元</w:t>
      </w:r>
      <w:proofErr w:type="gramEnd"/>
      <w:r w:rsidR="000F6FDD" w:rsidRPr="00C032EB">
        <w:rPr>
          <w:rFonts w:ascii="標楷體" w:eastAsia="標楷體" w:hAnsi="標楷體" w:hint="eastAsia"/>
          <w:sz w:val="28"/>
          <w:szCs w:val="28"/>
        </w:rPr>
        <w:t>/坪，</w:t>
      </w:r>
      <w:r w:rsidRPr="00C032EB">
        <w:rPr>
          <w:rFonts w:ascii="標楷體" w:eastAsia="標楷體" w:hAnsi="標楷體" w:hint="eastAsia"/>
          <w:sz w:val="28"/>
          <w:szCs w:val="28"/>
        </w:rPr>
        <w:t>最近一年</w:t>
      </w:r>
      <w:proofErr w:type="gramStart"/>
      <w:r w:rsidRPr="00C032EB">
        <w:rPr>
          <w:rFonts w:ascii="標楷體" w:eastAsia="標楷體" w:hAnsi="標楷體" w:hint="eastAsia"/>
          <w:sz w:val="28"/>
          <w:szCs w:val="28"/>
        </w:rPr>
        <w:t>交易均價</w:t>
      </w:r>
      <w:r w:rsidR="00A32684">
        <w:rPr>
          <w:rFonts w:ascii="標楷體" w:eastAsia="標楷體" w:hAnsi="標楷體" w:hint="eastAsia"/>
          <w:sz w:val="28"/>
          <w:szCs w:val="28"/>
        </w:rPr>
        <w:t>相對</w:t>
      </w:r>
      <w:proofErr w:type="gramEnd"/>
      <w:r w:rsidR="00A32684">
        <w:rPr>
          <w:rFonts w:ascii="標楷體" w:eastAsia="標楷體" w:hAnsi="標楷體" w:hint="eastAsia"/>
          <w:sz w:val="28"/>
          <w:szCs w:val="28"/>
        </w:rPr>
        <w:t>較</w:t>
      </w:r>
      <w:proofErr w:type="gramStart"/>
      <w:r w:rsidR="00A32684">
        <w:rPr>
          <w:rFonts w:ascii="標楷體" w:eastAsia="標楷體" w:hAnsi="標楷體" w:hint="eastAsia"/>
          <w:sz w:val="28"/>
          <w:szCs w:val="28"/>
        </w:rPr>
        <w:t>平穩，</w:t>
      </w:r>
      <w:proofErr w:type="gramEnd"/>
      <w:r w:rsidRPr="00C032EB">
        <w:rPr>
          <w:rFonts w:ascii="標楷體" w:eastAsia="標楷體" w:hAnsi="標楷體" w:hint="eastAsia"/>
          <w:sz w:val="28"/>
          <w:szCs w:val="28"/>
        </w:rPr>
        <w:t>介於1</w:t>
      </w:r>
      <w:r w:rsidR="00B34476" w:rsidRPr="00C032EB">
        <w:rPr>
          <w:rFonts w:ascii="標楷體" w:eastAsia="標楷體" w:hAnsi="標楷體" w:hint="eastAsia"/>
          <w:sz w:val="28"/>
          <w:szCs w:val="28"/>
        </w:rPr>
        <w:t>6</w:t>
      </w:r>
      <w:r w:rsidRPr="00C032EB">
        <w:rPr>
          <w:rFonts w:ascii="標楷體" w:eastAsia="標楷體" w:hAnsi="標楷體" w:hint="eastAsia"/>
          <w:sz w:val="28"/>
          <w:szCs w:val="28"/>
        </w:rPr>
        <w:t>~</w:t>
      </w:r>
      <w:r w:rsidR="00B34476" w:rsidRPr="00C032EB">
        <w:rPr>
          <w:rFonts w:ascii="標楷體" w:eastAsia="標楷體" w:hAnsi="標楷體" w:hint="eastAsia"/>
          <w:sz w:val="28"/>
          <w:szCs w:val="28"/>
        </w:rPr>
        <w:t>17</w:t>
      </w:r>
      <w:r w:rsidRPr="00C032EB">
        <w:rPr>
          <w:rFonts w:ascii="標楷體" w:eastAsia="標楷體" w:hAnsi="標楷體" w:hint="eastAsia"/>
          <w:sz w:val="28"/>
          <w:szCs w:val="28"/>
        </w:rPr>
        <w:t>萬元/</w:t>
      </w:r>
      <w:r w:rsidR="00A32684">
        <w:rPr>
          <w:rFonts w:ascii="標楷體" w:eastAsia="標楷體" w:hAnsi="標楷體" w:hint="eastAsia"/>
          <w:sz w:val="28"/>
          <w:szCs w:val="28"/>
        </w:rPr>
        <w:t>坪間</w:t>
      </w:r>
      <w:r w:rsidRPr="00C032EB">
        <w:rPr>
          <w:rFonts w:ascii="標楷體" w:eastAsia="標楷體" w:hAnsi="標楷體" w:hint="eastAsia"/>
          <w:sz w:val="28"/>
          <w:szCs w:val="28"/>
        </w:rPr>
        <w:t>。</w:t>
      </w:r>
    </w:p>
    <w:p w:rsidR="00DA5D0A" w:rsidRDefault="00C032EB" w:rsidP="00575EA7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66627</wp:posOffset>
            </wp:positionH>
            <wp:positionV relativeFrom="paragraph">
              <wp:posOffset>203835</wp:posOffset>
            </wp:positionV>
            <wp:extent cx="5209540" cy="2110105"/>
            <wp:effectExtent l="0" t="0" r="10160" b="23495"/>
            <wp:wrapNone/>
            <wp:docPr id="6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DA5D0A" w:rsidRPr="00101272" w:rsidRDefault="00DA5D0A" w:rsidP="00575EA7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DA5D0A" w:rsidRDefault="00DA5D0A" w:rsidP="00575EA7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DA5D0A" w:rsidRPr="00575EA7" w:rsidRDefault="00DA5D0A" w:rsidP="00575EA7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34476" w:rsidRPr="00DA5D0A" w:rsidRDefault="00B34476" w:rsidP="00214631">
      <w:pPr>
        <w:spacing w:beforeLines="30" w:before="108"/>
        <w:ind w:rightChars="96" w:right="230"/>
        <w:rPr>
          <w:rFonts w:ascii="微軟正黑體" w:eastAsia="微軟正黑體" w:hAnsi="微軟正黑體"/>
          <w:b/>
          <w:sz w:val="28"/>
          <w:szCs w:val="28"/>
        </w:rPr>
      </w:pPr>
    </w:p>
    <w:p w:rsidR="00DA5D0A" w:rsidRDefault="00DA5D0A" w:rsidP="00B34476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DA5D0A" w:rsidRPr="000F6FDD" w:rsidRDefault="00DA5D0A" w:rsidP="00B34476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6C2D7B" w:rsidRDefault="006C2D7B" w:rsidP="00780169">
      <w:pPr>
        <w:spacing w:line="34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6C2D7B" w:rsidRDefault="00214631" w:rsidP="006C2D7B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2275840</wp:posOffset>
                </wp:positionH>
                <wp:positionV relativeFrom="paragraph">
                  <wp:posOffset>102870</wp:posOffset>
                </wp:positionV>
                <wp:extent cx="2947670" cy="320040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DB62B1" w:rsidRDefault="00E02A61" w:rsidP="00002D1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中壢區住宅大樓新成屋及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中古屋均價走勢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79.2pt;margin-top:8.1pt;width:232.1pt;height:25.2pt;z-index:25170124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" filled="f" stroked="f">
                <v:textbox style="mso-fit-shape-to-text:t">
                  <w:txbxContent>
                    <w:p w:rsidR="00E02A61" w:rsidRPr="00DB62B1" w:rsidRDefault="00E02A61" w:rsidP="00002D13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圖、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中壢區住宅大樓新成屋及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中古屋均價走勢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E4EF2" w:rsidRDefault="00DE4EF2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</w:p>
    <w:p w:rsidR="00B34476" w:rsidRPr="00C032EB" w:rsidRDefault="00365A3F" w:rsidP="00C032EB">
      <w:pPr>
        <w:pStyle w:val="a3"/>
        <w:numPr>
          <w:ilvl w:val="0"/>
          <w:numId w:val="3"/>
        </w:numPr>
        <w:spacing w:line="400" w:lineRule="exact"/>
        <w:ind w:leftChars="0" w:rightChars="37" w:right="89"/>
        <w:jc w:val="both"/>
        <w:rPr>
          <w:rFonts w:ascii="標楷體" w:eastAsia="標楷體" w:hAnsi="標楷體"/>
          <w:sz w:val="28"/>
          <w:szCs w:val="28"/>
        </w:rPr>
      </w:pPr>
      <w:r w:rsidRPr="00C032EB">
        <w:rPr>
          <w:rFonts w:ascii="標楷體" w:eastAsia="標楷體" w:hAnsi="標楷體" w:hint="eastAsia"/>
          <w:sz w:val="28"/>
          <w:szCs w:val="28"/>
        </w:rPr>
        <w:lastRenderedPageBreak/>
        <w:t>平鎮區住宅大樓新成屋，</w:t>
      </w:r>
      <w:r w:rsidR="00EE551C">
        <w:rPr>
          <w:rFonts w:ascii="標楷體" w:eastAsia="標楷體" w:hAnsi="標楷體" w:hint="eastAsia"/>
          <w:sz w:val="28"/>
          <w:szCs w:val="28"/>
        </w:rPr>
        <w:t>106</w:t>
      </w:r>
      <w:r w:rsidRPr="00C032EB">
        <w:rPr>
          <w:rFonts w:ascii="標楷體" w:eastAsia="標楷體" w:hAnsi="標楷體" w:hint="eastAsia"/>
          <w:sz w:val="28"/>
          <w:szCs w:val="28"/>
        </w:rPr>
        <w:t>年</w:t>
      </w:r>
      <w:r w:rsidR="00EE551C">
        <w:rPr>
          <w:rFonts w:ascii="標楷體" w:eastAsia="標楷體" w:hAnsi="標楷體" w:hint="eastAsia"/>
          <w:sz w:val="28"/>
          <w:szCs w:val="28"/>
        </w:rPr>
        <w:t>1</w:t>
      </w:r>
      <w:r w:rsidRPr="00C032EB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Pr="00C032EB">
        <w:rPr>
          <w:rFonts w:ascii="標楷體" w:eastAsia="標楷體" w:hAnsi="標楷體" w:hint="eastAsia"/>
          <w:sz w:val="28"/>
          <w:szCs w:val="28"/>
        </w:rPr>
        <w:t>交易均價</w:t>
      </w:r>
      <w:r w:rsidR="00EE551C">
        <w:rPr>
          <w:rFonts w:ascii="標楷體" w:eastAsia="標楷體" w:hAnsi="標楷體" w:hint="eastAsia"/>
          <w:sz w:val="28"/>
          <w:szCs w:val="28"/>
        </w:rPr>
        <w:t>15</w:t>
      </w:r>
      <w:r w:rsidR="00B11113">
        <w:rPr>
          <w:rFonts w:ascii="標楷體" w:eastAsia="標楷體" w:hAnsi="標楷體" w:hint="eastAsia"/>
          <w:sz w:val="28"/>
          <w:szCs w:val="28"/>
        </w:rPr>
        <w:t>.53</w:t>
      </w:r>
      <w:r w:rsidRPr="00C032EB">
        <w:rPr>
          <w:rFonts w:ascii="標楷體" w:eastAsia="標楷體" w:hAnsi="標楷體" w:hint="eastAsia"/>
          <w:sz w:val="28"/>
          <w:szCs w:val="28"/>
        </w:rPr>
        <w:t>萬元</w:t>
      </w:r>
      <w:proofErr w:type="gramEnd"/>
      <w:r w:rsidRPr="00C032EB">
        <w:rPr>
          <w:rFonts w:ascii="標楷體" w:eastAsia="標楷體" w:hAnsi="標楷體" w:hint="eastAsia"/>
          <w:sz w:val="28"/>
          <w:szCs w:val="28"/>
        </w:rPr>
        <w:t>/坪，</w:t>
      </w:r>
      <w:r w:rsidR="00BB10FA">
        <w:rPr>
          <w:rFonts w:ascii="標楷體" w:eastAsia="標楷體" w:hAnsi="標楷體" w:hint="eastAsia"/>
          <w:sz w:val="28"/>
          <w:szCs w:val="28"/>
        </w:rPr>
        <w:t>近</w:t>
      </w:r>
      <w:r w:rsidR="00FA2B0D">
        <w:rPr>
          <w:rFonts w:ascii="標楷體" w:eastAsia="標楷體" w:hAnsi="標楷體" w:hint="eastAsia"/>
          <w:sz w:val="28"/>
          <w:szCs w:val="28"/>
        </w:rPr>
        <w:t>3</w:t>
      </w:r>
      <w:r w:rsidR="001A6D51">
        <w:rPr>
          <w:rFonts w:ascii="標楷體" w:eastAsia="標楷體" w:hAnsi="標楷體" w:hint="eastAsia"/>
          <w:sz w:val="28"/>
          <w:szCs w:val="28"/>
        </w:rPr>
        <w:t>個月單價下跌係因鄰近中壢區成交案量</w:t>
      </w:r>
      <w:r w:rsidR="00BB10FA">
        <w:rPr>
          <w:rFonts w:ascii="標楷體" w:eastAsia="標楷體" w:hAnsi="標楷體" w:hint="eastAsia"/>
          <w:sz w:val="28"/>
          <w:szCs w:val="28"/>
        </w:rPr>
        <w:t>減少所致，</w:t>
      </w:r>
      <w:r w:rsidRPr="00C032EB">
        <w:rPr>
          <w:rFonts w:ascii="標楷體" w:eastAsia="標楷體" w:hAnsi="標楷體" w:hint="eastAsia"/>
          <w:sz w:val="28"/>
          <w:szCs w:val="28"/>
        </w:rPr>
        <w:t>最近一年</w:t>
      </w:r>
      <w:proofErr w:type="gramStart"/>
      <w:r w:rsidRPr="00C032EB">
        <w:rPr>
          <w:rFonts w:ascii="標楷體" w:eastAsia="標楷體" w:hAnsi="標楷體" w:hint="eastAsia"/>
          <w:sz w:val="28"/>
          <w:szCs w:val="28"/>
        </w:rPr>
        <w:t>交易均價則</w:t>
      </w:r>
      <w:proofErr w:type="gramEnd"/>
      <w:r w:rsidRPr="00C032EB">
        <w:rPr>
          <w:rFonts w:ascii="標楷體" w:eastAsia="標楷體" w:hAnsi="標楷體" w:hint="eastAsia"/>
          <w:sz w:val="28"/>
          <w:szCs w:val="28"/>
        </w:rPr>
        <w:t>波動較大(</w:t>
      </w:r>
      <w:r w:rsidR="00FF1EC1" w:rsidRPr="00C032EB">
        <w:rPr>
          <w:rFonts w:ascii="標楷體" w:eastAsia="標楷體" w:hAnsi="標楷體" w:hint="eastAsia"/>
          <w:sz w:val="28"/>
          <w:szCs w:val="28"/>
        </w:rPr>
        <w:t>14~19</w:t>
      </w:r>
      <w:r w:rsidRPr="00C032EB">
        <w:rPr>
          <w:rFonts w:ascii="標楷體" w:eastAsia="標楷體" w:hAnsi="標楷體" w:hint="eastAsia"/>
          <w:sz w:val="28"/>
          <w:szCs w:val="28"/>
        </w:rPr>
        <w:t>萬元/坪)</w:t>
      </w:r>
      <w:r w:rsidR="00E92C53">
        <w:rPr>
          <w:rFonts w:ascii="標楷體" w:eastAsia="標楷體" w:hAnsi="標楷體" w:hint="eastAsia"/>
          <w:sz w:val="28"/>
          <w:szCs w:val="28"/>
        </w:rPr>
        <w:t>；</w:t>
      </w:r>
      <w:r w:rsidRPr="00C032EB">
        <w:rPr>
          <w:rFonts w:ascii="標楷體" w:eastAsia="標楷體" w:hAnsi="標楷體" w:hint="eastAsia"/>
          <w:sz w:val="28"/>
          <w:szCs w:val="28"/>
        </w:rPr>
        <w:t>住宅大樓中古屋，</w:t>
      </w:r>
      <w:r w:rsidR="00EE551C">
        <w:rPr>
          <w:rFonts w:ascii="標楷體" w:eastAsia="標楷體" w:hAnsi="標楷體" w:hint="eastAsia"/>
          <w:sz w:val="28"/>
          <w:szCs w:val="28"/>
        </w:rPr>
        <w:t>106</w:t>
      </w:r>
      <w:r w:rsidRPr="00C032EB">
        <w:rPr>
          <w:rFonts w:ascii="標楷體" w:eastAsia="標楷體" w:hAnsi="標楷體" w:hint="eastAsia"/>
          <w:sz w:val="28"/>
          <w:szCs w:val="28"/>
        </w:rPr>
        <w:t>年</w:t>
      </w:r>
      <w:r w:rsidR="00EE551C">
        <w:rPr>
          <w:rFonts w:ascii="標楷體" w:eastAsia="標楷體" w:hAnsi="標楷體" w:hint="eastAsia"/>
          <w:sz w:val="28"/>
          <w:szCs w:val="28"/>
        </w:rPr>
        <w:t>1</w:t>
      </w:r>
      <w:r w:rsidRPr="00C032EB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Pr="00C032EB">
        <w:rPr>
          <w:rFonts w:ascii="標楷體" w:eastAsia="標楷體" w:hAnsi="標楷體" w:hint="eastAsia"/>
          <w:sz w:val="28"/>
          <w:szCs w:val="28"/>
        </w:rPr>
        <w:t>交易均價</w:t>
      </w:r>
      <w:r w:rsidR="00EE551C">
        <w:rPr>
          <w:rFonts w:ascii="標楷體" w:eastAsia="標楷體" w:hAnsi="標楷體" w:hint="eastAsia"/>
          <w:sz w:val="28"/>
          <w:szCs w:val="28"/>
        </w:rPr>
        <w:t>14.73</w:t>
      </w:r>
      <w:r w:rsidRPr="00C032EB">
        <w:rPr>
          <w:rFonts w:ascii="標楷體" w:eastAsia="標楷體" w:hAnsi="標楷體" w:hint="eastAsia"/>
          <w:sz w:val="28"/>
          <w:szCs w:val="28"/>
        </w:rPr>
        <w:t>萬元</w:t>
      </w:r>
      <w:proofErr w:type="gramEnd"/>
      <w:r w:rsidRPr="00C032EB">
        <w:rPr>
          <w:rFonts w:ascii="標楷體" w:eastAsia="標楷體" w:hAnsi="標楷體" w:hint="eastAsia"/>
          <w:sz w:val="28"/>
          <w:szCs w:val="28"/>
        </w:rPr>
        <w:t>/坪，最近一年交易</w:t>
      </w:r>
      <w:proofErr w:type="gramStart"/>
      <w:r w:rsidRPr="00C032EB">
        <w:rPr>
          <w:rFonts w:ascii="標楷體" w:eastAsia="標楷體" w:hAnsi="標楷體" w:hint="eastAsia"/>
          <w:sz w:val="28"/>
          <w:szCs w:val="28"/>
        </w:rPr>
        <w:t>均價多</w:t>
      </w:r>
      <w:proofErr w:type="gramEnd"/>
      <w:r w:rsidRPr="00C032EB">
        <w:rPr>
          <w:rFonts w:ascii="標楷體" w:eastAsia="標楷體" w:hAnsi="標楷體" w:hint="eastAsia"/>
          <w:sz w:val="28"/>
          <w:szCs w:val="28"/>
        </w:rPr>
        <w:t>介於14~16萬元/坪間</w:t>
      </w:r>
      <w:r w:rsidR="00E92C53">
        <w:rPr>
          <w:rFonts w:ascii="標楷體" w:eastAsia="標楷體" w:hAnsi="標楷體" w:hint="eastAsia"/>
          <w:sz w:val="28"/>
          <w:szCs w:val="28"/>
        </w:rPr>
        <w:t>。</w:t>
      </w:r>
      <w:r w:rsidRPr="00C032EB">
        <w:rPr>
          <w:rFonts w:ascii="標楷體" w:eastAsia="標楷體" w:hAnsi="標楷體" w:hint="eastAsia"/>
          <w:sz w:val="28"/>
          <w:szCs w:val="28"/>
        </w:rPr>
        <w:t>本區部分月份</w:t>
      </w:r>
      <w:proofErr w:type="gramStart"/>
      <w:r w:rsidRPr="00C032EB">
        <w:rPr>
          <w:rFonts w:ascii="標楷體" w:eastAsia="標楷體" w:hAnsi="標楷體" w:hint="eastAsia"/>
          <w:sz w:val="28"/>
          <w:szCs w:val="28"/>
        </w:rPr>
        <w:t>中古屋均價高於</w:t>
      </w:r>
      <w:proofErr w:type="gramEnd"/>
      <w:r w:rsidRPr="00C032EB">
        <w:rPr>
          <w:rFonts w:ascii="標楷體" w:eastAsia="標楷體" w:hAnsi="標楷體" w:hint="eastAsia"/>
          <w:sz w:val="28"/>
          <w:szCs w:val="28"/>
        </w:rPr>
        <w:t>新成屋，分析其原因為當月中古屋交易</w:t>
      </w:r>
      <w:proofErr w:type="gramStart"/>
      <w:r w:rsidRPr="00C032EB">
        <w:rPr>
          <w:rFonts w:ascii="標楷體" w:eastAsia="標楷體" w:hAnsi="標楷體" w:hint="eastAsia"/>
          <w:sz w:val="28"/>
          <w:szCs w:val="28"/>
        </w:rPr>
        <w:t>區位</w:t>
      </w:r>
      <w:r w:rsidR="00000A9D" w:rsidRPr="00C032EB">
        <w:rPr>
          <w:rFonts w:ascii="標楷體" w:eastAsia="標楷體" w:hAnsi="標楷體" w:hint="eastAsia"/>
          <w:sz w:val="28"/>
          <w:szCs w:val="28"/>
        </w:rPr>
        <w:t>多</w:t>
      </w:r>
      <w:r w:rsidRPr="00C032EB"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 w:rsidRPr="00C032EB">
        <w:rPr>
          <w:rFonts w:ascii="標楷體" w:eastAsia="標楷體" w:hAnsi="標楷體" w:hint="eastAsia"/>
          <w:sz w:val="28"/>
          <w:szCs w:val="28"/>
        </w:rPr>
        <w:t>鄰近中壢區，但新成屋交易區位</w:t>
      </w:r>
      <w:r w:rsidR="00000A9D" w:rsidRPr="00C032EB">
        <w:rPr>
          <w:rFonts w:ascii="標楷體" w:eastAsia="標楷體" w:hAnsi="標楷體" w:hint="eastAsia"/>
          <w:sz w:val="28"/>
          <w:szCs w:val="28"/>
        </w:rPr>
        <w:t>則</w:t>
      </w:r>
      <w:r w:rsidRPr="00C032EB">
        <w:rPr>
          <w:rFonts w:ascii="標楷體" w:eastAsia="標楷體" w:hAnsi="標楷體" w:hint="eastAsia"/>
          <w:sz w:val="28"/>
          <w:szCs w:val="28"/>
        </w:rPr>
        <w:t>以山仔頂及南勢地區比例較高所致</w:t>
      </w:r>
      <w:r w:rsidR="00987E16" w:rsidRPr="00C032EB">
        <w:rPr>
          <w:rFonts w:ascii="標楷體" w:eastAsia="標楷體" w:hAnsi="標楷體" w:hint="eastAsia"/>
          <w:sz w:val="28"/>
          <w:szCs w:val="28"/>
        </w:rPr>
        <w:t>。</w:t>
      </w:r>
    </w:p>
    <w:p w:rsidR="00B34476" w:rsidRDefault="00214631" w:rsidP="00214631">
      <w:pPr>
        <w:spacing w:beforeLines="30" w:before="108"/>
        <w:ind w:rightChars="96" w:right="23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2388870</wp:posOffset>
                </wp:positionH>
                <wp:positionV relativeFrom="paragraph">
                  <wp:posOffset>2333625</wp:posOffset>
                </wp:positionV>
                <wp:extent cx="2947670" cy="320040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DB62B1" w:rsidRDefault="00E02A61" w:rsidP="00AC632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平鎮區住宅大樓新成屋及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中古屋均價走勢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88.1pt;margin-top:183.75pt;width:232.1pt;height:25.2pt;z-index:25170329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" filled="f" stroked="f">
                <v:textbox style="mso-fit-shape-to-text:t">
                  <w:txbxContent>
                    <w:p w:rsidR="00E02A61" w:rsidRPr="00DB62B1" w:rsidRDefault="00E02A61" w:rsidP="00AC6325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圖、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平鎮區住宅大樓新成屋及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中古屋均價走勢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D13" w:rsidRPr="00002D13">
        <w:rPr>
          <w:rFonts w:ascii="微軟正黑體" w:eastAsia="微軟正黑體" w:hAnsi="微軟正黑體"/>
          <w:b/>
          <w:noProof/>
          <w:sz w:val="28"/>
          <w:szCs w:val="28"/>
        </w:rPr>
        <w:drawing>
          <wp:inline distT="0" distB="0" distL="0" distR="0">
            <wp:extent cx="5211362" cy="2099144"/>
            <wp:effectExtent l="0" t="0" r="27940" b="15875"/>
            <wp:docPr id="9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C2D7B" w:rsidRDefault="006C2D7B" w:rsidP="00B34476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FB2D6A" w:rsidRDefault="00FB2D6A" w:rsidP="00B34476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B34476" w:rsidRPr="00C032EB" w:rsidRDefault="00B34476" w:rsidP="00C032EB">
      <w:pPr>
        <w:pStyle w:val="a3"/>
        <w:numPr>
          <w:ilvl w:val="0"/>
          <w:numId w:val="3"/>
        </w:numPr>
        <w:spacing w:line="400" w:lineRule="exact"/>
        <w:ind w:leftChars="0" w:rightChars="37" w:right="89"/>
        <w:jc w:val="both"/>
        <w:rPr>
          <w:rFonts w:ascii="標楷體" w:eastAsia="標楷體" w:hAnsi="標楷體"/>
          <w:sz w:val="28"/>
          <w:szCs w:val="28"/>
        </w:rPr>
      </w:pPr>
      <w:r w:rsidRPr="00C032EB">
        <w:rPr>
          <w:rFonts w:ascii="標楷體" w:eastAsia="標楷體" w:hAnsi="標楷體" w:hint="eastAsia"/>
          <w:sz w:val="28"/>
          <w:szCs w:val="28"/>
        </w:rPr>
        <w:t>桃園區住宅大樓新成屋，</w:t>
      </w:r>
      <w:r w:rsidR="005D17FA">
        <w:rPr>
          <w:rFonts w:ascii="標楷體" w:eastAsia="標楷體" w:hAnsi="標楷體" w:hint="eastAsia"/>
          <w:sz w:val="28"/>
          <w:szCs w:val="28"/>
        </w:rPr>
        <w:t>106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年</w:t>
      </w:r>
      <w:r w:rsidR="005D17FA">
        <w:rPr>
          <w:rFonts w:ascii="標楷體" w:eastAsia="標楷體" w:hAnsi="標楷體" w:hint="eastAsia"/>
          <w:sz w:val="28"/>
          <w:szCs w:val="28"/>
        </w:rPr>
        <w:t>1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="000F6FDD" w:rsidRPr="00C032EB">
        <w:rPr>
          <w:rFonts w:ascii="標楷體" w:eastAsia="標楷體" w:hAnsi="標楷體" w:hint="eastAsia"/>
          <w:sz w:val="28"/>
          <w:szCs w:val="28"/>
        </w:rPr>
        <w:t>交易均價</w:t>
      </w:r>
      <w:r w:rsidR="005D17FA">
        <w:rPr>
          <w:rFonts w:ascii="標楷體" w:eastAsia="標楷體" w:hAnsi="標楷體" w:hint="eastAsia"/>
          <w:sz w:val="28"/>
          <w:szCs w:val="28"/>
        </w:rPr>
        <w:t>31.02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萬元</w:t>
      </w:r>
      <w:proofErr w:type="gramEnd"/>
      <w:r w:rsidR="000F6FDD" w:rsidRPr="00C032EB">
        <w:rPr>
          <w:rFonts w:ascii="標楷體" w:eastAsia="標楷體" w:hAnsi="標楷體" w:hint="eastAsia"/>
          <w:sz w:val="28"/>
          <w:szCs w:val="28"/>
        </w:rPr>
        <w:t>/坪，</w:t>
      </w:r>
      <w:r w:rsidR="00CC78F8">
        <w:rPr>
          <w:rFonts w:ascii="標楷體" w:eastAsia="標楷體" w:hAnsi="標楷體" w:hint="eastAsia"/>
          <w:sz w:val="28"/>
          <w:szCs w:val="28"/>
        </w:rPr>
        <w:t>較上期大幅增加，主</w:t>
      </w:r>
      <w:r w:rsidR="003F531B">
        <w:rPr>
          <w:rFonts w:ascii="標楷體" w:eastAsia="標楷體" w:hAnsi="標楷體" w:hint="eastAsia"/>
          <w:sz w:val="28"/>
          <w:szCs w:val="28"/>
        </w:rPr>
        <w:t>因</w:t>
      </w:r>
      <w:r w:rsidR="00CC78F8">
        <w:rPr>
          <w:rFonts w:ascii="標楷體" w:eastAsia="標楷體" w:hAnsi="標楷體" w:hint="eastAsia"/>
          <w:sz w:val="28"/>
          <w:szCs w:val="28"/>
        </w:rPr>
        <w:t>為本月</w:t>
      </w:r>
      <w:r w:rsidR="005D17FA">
        <w:rPr>
          <w:rFonts w:ascii="標楷體" w:eastAsia="標楷體" w:hAnsi="標楷體" w:hint="eastAsia"/>
          <w:sz w:val="28"/>
          <w:szCs w:val="28"/>
        </w:rPr>
        <w:t>申報登錄</w:t>
      </w:r>
      <w:r w:rsidR="00CC78F8">
        <w:rPr>
          <w:rFonts w:ascii="標楷體" w:eastAsia="標楷體" w:hAnsi="標楷體" w:hint="eastAsia"/>
          <w:sz w:val="28"/>
          <w:szCs w:val="28"/>
        </w:rPr>
        <w:t>成交</w:t>
      </w:r>
      <w:r w:rsidR="005D17FA">
        <w:rPr>
          <w:rFonts w:ascii="標楷體" w:eastAsia="標楷體" w:hAnsi="標楷體" w:hint="eastAsia"/>
          <w:sz w:val="28"/>
          <w:szCs w:val="28"/>
        </w:rPr>
        <w:t>案量</w:t>
      </w:r>
      <w:r w:rsidR="00CC78F8">
        <w:rPr>
          <w:rFonts w:ascii="標楷體" w:eastAsia="標楷體" w:hAnsi="標楷體" w:hint="eastAsia"/>
          <w:sz w:val="28"/>
          <w:szCs w:val="28"/>
        </w:rPr>
        <w:t>較</w:t>
      </w:r>
      <w:r w:rsidR="005D17FA">
        <w:rPr>
          <w:rFonts w:ascii="標楷體" w:eastAsia="標楷體" w:hAnsi="標楷體" w:hint="eastAsia"/>
          <w:sz w:val="28"/>
          <w:szCs w:val="28"/>
        </w:rPr>
        <w:t>少</w:t>
      </w:r>
      <w:r w:rsidR="00EC10E8">
        <w:rPr>
          <w:rFonts w:ascii="標楷體" w:eastAsia="標楷體" w:hAnsi="標楷體" w:hint="eastAsia"/>
          <w:sz w:val="28"/>
          <w:szCs w:val="28"/>
        </w:rPr>
        <w:t>，</w:t>
      </w:r>
      <w:r w:rsidR="00B37FF0">
        <w:rPr>
          <w:rFonts w:ascii="標楷體" w:eastAsia="標楷體" w:hAnsi="標楷體" w:hint="eastAsia"/>
          <w:sz w:val="28"/>
          <w:szCs w:val="28"/>
        </w:rPr>
        <w:t>及受中正路永和市場附近</w:t>
      </w:r>
      <w:r w:rsidR="006D122D">
        <w:rPr>
          <w:rFonts w:ascii="標楷體" w:eastAsia="標楷體" w:hAnsi="標楷體" w:hint="eastAsia"/>
          <w:sz w:val="28"/>
          <w:szCs w:val="28"/>
        </w:rPr>
        <w:t>新</w:t>
      </w:r>
      <w:r w:rsidR="00B37FF0">
        <w:rPr>
          <w:rFonts w:ascii="標楷體" w:eastAsia="標楷體" w:hAnsi="標楷體" w:hint="eastAsia"/>
          <w:sz w:val="28"/>
          <w:szCs w:val="28"/>
        </w:rPr>
        <w:t>建案</w:t>
      </w:r>
      <w:r w:rsidR="006D122D">
        <w:rPr>
          <w:rFonts w:ascii="標楷體" w:eastAsia="標楷體" w:hAnsi="標楷體" w:hint="eastAsia"/>
          <w:sz w:val="28"/>
          <w:szCs w:val="28"/>
        </w:rPr>
        <w:t>單價較高之</w:t>
      </w:r>
      <w:r w:rsidR="00B37FF0">
        <w:rPr>
          <w:rFonts w:ascii="標楷體" w:eastAsia="標楷體" w:hAnsi="標楷體" w:hint="eastAsia"/>
          <w:sz w:val="28"/>
          <w:szCs w:val="28"/>
        </w:rPr>
        <w:t>套房產品交屋</w:t>
      </w:r>
      <w:r w:rsidR="00EC10E8">
        <w:rPr>
          <w:rFonts w:ascii="標楷體" w:eastAsia="標楷體" w:hAnsi="標楷體" w:hint="eastAsia"/>
          <w:sz w:val="28"/>
          <w:szCs w:val="28"/>
        </w:rPr>
        <w:t>所致，</w:t>
      </w:r>
      <w:r w:rsidR="006D122D">
        <w:rPr>
          <w:rFonts w:ascii="標楷體" w:eastAsia="標楷體" w:hAnsi="標楷體" w:hint="eastAsia"/>
          <w:sz w:val="28"/>
          <w:szCs w:val="28"/>
        </w:rPr>
        <w:t>另本區</w:t>
      </w:r>
      <w:r w:rsidRPr="00C032EB">
        <w:rPr>
          <w:rFonts w:ascii="標楷體" w:eastAsia="標楷體" w:hAnsi="標楷體" w:hint="eastAsia"/>
          <w:sz w:val="28"/>
          <w:szCs w:val="28"/>
        </w:rPr>
        <w:t>最近一年交易</w:t>
      </w:r>
      <w:r w:rsidR="007A2CF3">
        <w:rPr>
          <w:rFonts w:ascii="標楷體" w:eastAsia="標楷體" w:hAnsi="標楷體" w:hint="eastAsia"/>
          <w:sz w:val="28"/>
          <w:szCs w:val="28"/>
        </w:rPr>
        <w:t>受成交區位</w:t>
      </w:r>
      <w:r w:rsidR="00FA092B">
        <w:rPr>
          <w:rFonts w:ascii="標楷體" w:eastAsia="標楷體" w:hAnsi="標楷體" w:hint="eastAsia"/>
          <w:sz w:val="28"/>
          <w:szCs w:val="28"/>
        </w:rPr>
        <w:t>分布不同</w:t>
      </w:r>
      <w:r w:rsidR="007A2CF3">
        <w:rPr>
          <w:rFonts w:ascii="標楷體" w:eastAsia="標楷體" w:hAnsi="標楷體" w:hint="eastAsia"/>
          <w:sz w:val="28"/>
          <w:szCs w:val="28"/>
        </w:rPr>
        <w:t>影響</w:t>
      </w:r>
      <w:r w:rsidR="00185C7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A373F" w:rsidRPr="00C032EB">
        <w:rPr>
          <w:rFonts w:ascii="標楷體" w:eastAsia="標楷體" w:hAnsi="標楷體" w:hint="eastAsia"/>
          <w:sz w:val="28"/>
          <w:szCs w:val="28"/>
        </w:rPr>
        <w:t>均價</w:t>
      </w:r>
      <w:r w:rsidRPr="00C032EB">
        <w:rPr>
          <w:rFonts w:ascii="標楷體" w:eastAsia="標楷體" w:hAnsi="標楷體" w:hint="eastAsia"/>
          <w:sz w:val="28"/>
          <w:szCs w:val="28"/>
        </w:rPr>
        <w:t>介於</w:t>
      </w:r>
      <w:proofErr w:type="gramEnd"/>
      <w:r w:rsidR="005D17FA">
        <w:rPr>
          <w:rFonts w:ascii="標楷體" w:eastAsia="標楷體" w:hAnsi="標楷體" w:hint="eastAsia"/>
          <w:sz w:val="28"/>
          <w:szCs w:val="28"/>
        </w:rPr>
        <w:t>23~31</w:t>
      </w:r>
      <w:r w:rsidR="000F6FDD" w:rsidRPr="00C032EB">
        <w:rPr>
          <w:rFonts w:ascii="標楷體" w:eastAsia="標楷體" w:hAnsi="標楷體" w:hint="eastAsia"/>
          <w:sz w:val="28"/>
          <w:szCs w:val="28"/>
        </w:rPr>
        <w:t>萬元/坪間</w:t>
      </w:r>
      <w:r w:rsidR="00E92C53">
        <w:rPr>
          <w:rFonts w:ascii="標楷體" w:eastAsia="標楷體" w:hAnsi="標楷體" w:hint="eastAsia"/>
          <w:sz w:val="28"/>
          <w:szCs w:val="28"/>
        </w:rPr>
        <w:t>；住宅大樓中古屋，</w:t>
      </w:r>
      <w:r w:rsidR="00EC10E8">
        <w:rPr>
          <w:rFonts w:ascii="標楷體" w:eastAsia="標楷體" w:hAnsi="標楷體" w:hint="eastAsia"/>
          <w:sz w:val="28"/>
          <w:szCs w:val="28"/>
        </w:rPr>
        <w:t>106</w:t>
      </w:r>
      <w:r w:rsidR="00FB2D6A" w:rsidRPr="00C032EB">
        <w:rPr>
          <w:rFonts w:ascii="標楷體" w:eastAsia="標楷體" w:hAnsi="標楷體" w:hint="eastAsia"/>
          <w:sz w:val="28"/>
          <w:szCs w:val="28"/>
        </w:rPr>
        <w:t>年</w:t>
      </w:r>
      <w:r w:rsidR="00EC10E8">
        <w:rPr>
          <w:rFonts w:ascii="標楷體" w:eastAsia="標楷體" w:hAnsi="標楷體" w:hint="eastAsia"/>
          <w:sz w:val="28"/>
          <w:szCs w:val="28"/>
        </w:rPr>
        <w:t>1</w:t>
      </w:r>
      <w:r w:rsidR="00FB2D6A" w:rsidRPr="00C032EB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="00FB2D6A" w:rsidRPr="00C032EB">
        <w:rPr>
          <w:rFonts w:ascii="標楷體" w:eastAsia="標楷體" w:hAnsi="標楷體" w:hint="eastAsia"/>
          <w:sz w:val="28"/>
          <w:szCs w:val="28"/>
        </w:rPr>
        <w:t>交易均價</w:t>
      </w:r>
      <w:r w:rsidR="00EC10E8">
        <w:rPr>
          <w:rFonts w:ascii="標楷體" w:eastAsia="標楷體" w:hAnsi="標楷體" w:hint="eastAsia"/>
          <w:sz w:val="28"/>
          <w:szCs w:val="28"/>
        </w:rPr>
        <w:t>18.49</w:t>
      </w:r>
      <w:r w:rsidR="00FB2D6A" w:rsidRPr="00C032EB">
        <w:rPr>
          <w:rFonts w:ascii="標楷體" w:eastAsia="標楷體" w:hAnsi="標楷體" w:hint="eastAsia"/>
          <w:sz w:val="28"/>
          <w:szCs w:val="28"/>
        </w:rPr>
        <w:t>萬元</w:t>
      </w:r>
      <w:proofErr w:type="gramEnd"/>
      <w:r w:rsidR="00FB2D6A" w:rsidRPr="00C032EB">
        <w:rPr>
          <w:rFonts w:ascii="標楷體" w:eastAsia="標楷體" w:hAnsi="標楷體" w:hint="eastAsia"/>
          <w:sz w:val="28"/>
          <w:szCs w:val="28"/>
        </w:rPr>
        <w:t>/坪，</w:t>
      </w:r>
      <w:r w:rsidRPr="00C032EB">
        <w:rPr>
          <w:rFonts w:ascii="標楷體" w:eastAsia="標楷體" w:hAnsi="標楷體" w:hint="eastAsia"/>
          <w:sz w:val="28"/>
          <w:szCs w:val="28"/>
        </w:rPr>
        <w:t>最近一年交易</w:t>
      </w:r>
      <w:proofErr w:type="gramStart"/>
      <w:r w:rsidRPr="00C032EB">
        <w:rPr>
          <w:rFonts w:ascii="標楷體" w:eastAsia="標楷體" w:hAnsi="標楷體" w:hint="eastAsia"/>
          <w:sz w:val="28"/>
          <w:szCs w:val="28"/>
        </w:rPr>
        <w:t>均價多</w:t>
      </w:r>
      <w:proofErr w:type="gramEnd"/>
      <w:r w:rsidRPr="00C032EB">
        <w:rPr>
          <w:rFonts w:ascii="標楷體" w:eastAsia="標楷體" w:hAnsi="標楷體" w:hint="eastAsia"/>
          <w:sz w:val="28"/>
          <w:szCs w:val="28"/>
        </w:rPr>
        <w:t>介於</w:t>
      </w:r>
      <w:r w:rsidR="00DA5D0A" w:rsidRPr="00C032EB">
        <w:rPr>
          <w:rFonts w:ascii="標楷體" w:eastAsia="標楷體" w:hAnsi="標楷體" w:hint="eastAsia"/>
          <w:sz w:val="28"/>
          <w:szCs w:val="28"/>
        </w:rPr>
        <w:t>18~20</w:t>
      </w:r>
      <w:r w:rsidRPr="00C032EB">
        <w:rPr>
          <w:rFonts w:ascii="標楷體" w:eastAsia="標楷體" w:hAnsi="標楷體" w:hint="eastAsia"/>
          <w:sz w:val="28"/>
          <w:szCs w:val="28"/>
        </w:rPr>
        <w:t>萬元/坪間，</w:t>
      </w:r>
      <w:proofErr w:type="gramStart"/>
      <w:r w:rsidRPr="00C032EB">
        <w:rPr>
          <w:rFonts w:ascii="標楷體" w:eastAsia="標楷體" w:hAnsi="標楷體" w:hint="eastAsia"/>
          <w:sz w:val="28"/>
          <w:szCs w:val="28"/>
        </w:rPr>
        <w:t>中古屋均價呈現</w:t>
      </w:r>
      <w:proofErr w:type="gramEnd"/>
      <w:r w:rsidR="006C2D7B" w:rsidRPr="00C032EB">
        <w:rPr>
          <w:rFonts w:ascii="標楷體" w:eastAsia="標楷體" w:hAnsi="標楷體" w:hint="eastAsia"/>
          <w:sz w:val="28"/>
          <w:szCs w:val="28"/>
        </w:rPr>
        <w:t>平穩</w:t>
      </w:r>
      <w:r w:rsidRPr="00C032EB">
        <w:rPr>
          <w:rFonts w:ascii="標楷體" w:eastAsia="標楷體" w:hAnsi="標楷體" w:hint="eastAsia"/>
          <w:sz w:val="28"/>
          <w:szCs w:val="28"/>
        </w:rPr>
        <w:t>走勢。</w:t>
      </w:r>
    </w:p>
    <w:p w:rsidR="000F6FDD" w:rsidRDefault="000F6FDD" w:rsidP="00B34476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4E39BC" w:rsidRDefault="00C032EB" w:rsidP="00FB2D6A">
      <w:pPr>
        <w:spacing w:line="400" w:lineRule="exact"/>
        <w:ind w:rightChars="37" w:right="89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18415</wp:posOffset>
            </wp:positionV>
            <wp:extent cx="5210810" cy="2110105"/>
            <wp:effectExtent l="0" t="0" r="27940" b="23495"/>
            <wp:wrapNone/>
            <wp:docPr id="1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FF1EC1" w:rsidRDefault="00FF1EC1" w:rsidP="00FB2D6A">
      <w:pPr>
        <w:spacing w:line="400" w:lineRule="exact"/>
        <w:ind w:rightChars="37" w:right="89"/>
        <w:jc w:val="both"/>
        <w:rPr>
          <w:rFonts w:ascii="微軟正黑體" w:eastAsia="微軟正黑體" w:hAnsi="微軟正黑體"/>
          <w:szCs w:val="24"/>
        </w:rPr>
      </w:pPr>
    </w:p>
    <w:p w:rsidR="000F6FDD" w:rsidRDefault="000F6FDD" w:rsidP="00FB2D6A">
      <w:pPr>
        <w:spacing w:line="400" w:lineRule="exact"/>
        <w:ind w:rightChars="37" w:right="89"/>
        <w:jc w:val="both"/>
        <w:rPr>
          <w:rFonts w:ascii="微軟正黑體" w:eastAsia="微軟正黑體" w:hAnsi="微軟正黑體"/>
          <w:szCs w:val="24"/>
        </w:rPr>
      </w:pPr>
    </w:p>
    <w:p w:rsidR="00FB2D6A" w:rsidRDefault="00FB2D6A" w:rsidP="00B34476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FB2D6A" w:rsidRDefault="00FB2D6A" w:rsidP="00B34476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FB2D6A" w:rsidRDefault="00FB2D6A" w:rsidP="00B34476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FB2D6A" w:rsidRDefault="00FB2D6A" w:rsidP="00B34476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FB2D6A" w:rsidRDefault="00FB2D6A" w:rsidP="00B34476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FB2D6A" w:rsidRDefault="00214631" w:rsidP="00C032EB">
      <w:pPr>
        <w:spacing w:line="400" w:lineRule="exact"/>
        <w:ind w:rightChars="37" w:right="89" w:firstLineChars="150" w:firstLine="42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2388870</wp:posOffset>
                </wp:positionH>
                <wp:positionV relativeFrom="paragraph">
                  <wp:posOffset>173355</wp:posOffset>
                </wp:positionV>
                <wp:extent cx="2947670" cy="320040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DB62B1" w:rsidRDefault="00E02A61" w:rsidP="00AC632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桃園區住宅大樓新成屋及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中古屋均價走勢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88.1pt;margin-top:13.65pt;width:232.1pt;height:25.2pt;z-index:25170432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" filled="f" stroked="f">
                <v:textbox style="mso-fit-shape-to-text:t">
                  <w:txbxContent>
                    <w:p w:rsidR="00E02A61" w:rsidRPr="00DB62B1" w:rsidRDefault="00E02A61" w:rsidP="00AC6325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圖、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桃園區住宅大樓新成屋及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中古屋均價走勢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2D6A" w:rsidRDefault="00FB2D6A" w:rsidP="00B34476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FB2D6A" w:rsidRDefault="00FB2D6A" w:rsidP="00B34476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DE4EF2" w:rsidRDefault="00DE4EF2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</w:p>
    <w:p w:rsidR="00DA5D0A" w:rsidRPr="00C032EB" w:rsidRDefault="00DA5D0A" w:rsidP="00C032EB">
      <w:pPr>
        <w:pStyle w:val="a3"/>
        <w:numPr>
          <w:ilvl w:val="0"/>
          <w:numId w:val="3"/>
        </w:numPr>
        <w:spacing w:line="400" w:lineRule="exact"/>
        <w:ind w:leftChars="0" w:rightChars="37" w:right="89"/>
        <w:jc w:val="both"/>
        <w:rPr>
          <w:rFonts w:ascii="標楷體" w:eastAsia="標楷體" w:hAnsi="標楷體"/>
          <w:sz w:val="28"/>
          <w:szCs w:val="28"/>
        </w:rPr>
      </w:pPr>
      <w:r w:rsidRPr="00C032EB">
        <w:rPr>
          <w:rFonts w:ascii="標楷體" w:eastAsia="標楷體" w:hAnsi="標楷體" w:hint="eastAsia"/>
          <w:sz w:val="28"/>
          <w:szCs w:val="28"/>
        </w:rPr>
        <w:lastRenderedPageBreak/>
        <w:t>龜山區</w:t>
      </w:r>
      <w:r w:rsidR="006C2D7B" w:rsidRPr="00C032EB">
        <w:rPr>
          <w:rFonts w:ascii="標楷體" w:eastAsia="標楷體" w:hAnsi="標楷體" w:hint="eastAsia"/>
          <w:sz w:val="28"/>
          <w:szCs w:val="28"/>
        </w:rPr>
        <w:t>住宅大樓新成屋，</w:t>
      </w:r>
      <w:r w:rsidR="003E7228">
        <w:rPr>
          <w:rFonts w:ascii="標楷體" w:eastAsia="標楷體" w:hAnsi="標楷體" w:hint="eastAsia"/>
          <w:sz w:val="28"/>
          <w:szCs w:val="28"/>
        </w:rPr>
        <w:t>106</w:t>
      </w:r>
      <w:r w:rsidR="00FB2D6A" w:rsidRPr="00C032EB">
        <w:rPr>
          <w:rFonts w:ascii="標楷體" w:eastAsia="標楷體" w:hAnsi="標楷體" w:hint="eastAsia"/>
          <w:sz w:val="28"/>
          <w:szCs w:val="28"/>
        </w:rPr>
        <w:t>年</w:t>
      </w:r>
      <w:r w:rsidR="003E7228">
        <w:rPr>
          <w:rFonts w:ascii="標楷體" w:eastAsia="標楷體" w:hAnsi="標楷體" w:hint="eastAsia"/>
          <w:sz w:val="28"/>
          <w:szCs w:val="28"/>
        </w:rPr>
        <w:t>1</w:t>
      </w:r>
      <w:r w:rsidR="00FB2D6A" w:rsidRPr="00C032EB">
        <w:rPr>
          <w:rFonts w:ascii="標楷體" w:eastAsia="標楷體" w:hAnsi="標楷體" w:hint="eastAsia"/>
          <w:sz w:val="28"/>
          <w:szCs w:val="28"/>
        </w:rPr>
        <w:t>月交易均價</w:t>
      </w:r>
      <w:r w:rsidR="003E7228">
        <w:rPr>
          <w:rFonts w:ascii="標楷體" w:eastAsia="標楷體" w:hAnsi="標楷體" w:hint="eastAsia"/>
          <w:sz w:val="28"/>
          <w:szCs w:val="28"/>
        </w:rPr>
        <w:t>21.73</w:t>
      </w:r>
      <w:r w:rsidR="00FB2D6A" w:rsidRPr="00C032EB">
        <w:rPr>
          <w:rFonts w:ascii="標楷體" w:eastAsia="標楷體" w:hAnsi="標楷體" w:hint="eastAsia"/>
          <w:sz w:val="28"/>
          <w:szCs w:val="28"/>
        </w:rPr>
        <w:t>萬元/坪，</w:t>
      </w:r>
      <w:r w:rsidR="00BC7446">
        <w:rPr>
          <w:rFonts w:ascii="標楷體" w:eastAsia="標楷體" w:hAnsi="標楷體" w:hint="eastAsia"/>
          <w:sz w:val="28"/>
          <w:szCs w:val="28"/>
        </w:rPr>
        <w:t>105</w:t>
      </w:r>
      <w:r w:rsidR="006C2D7B" w:rsidRPr="00C032EB">
        <w:rPr>
          <w:rFonts w:ascii="標楷體" w:eastAsia="標楷體" w:hAnsi="標楷體" w:hint="eastAsia"/>
          <w:sz w:val="28"/>
          <w:szCs w:val="28"/>
        </w:rPr>
        <w:t>年</w:t>
      </w:r>
      <w:r w:rsidR="007065DA">
        <w:rPr>
          <w:rFonts w:ascii="標楷體" w:eastAsia="標楷體" w:hAnsi="標楷體" w:hint="eastAsia"/>
          <w:sz w:val="28"/>
          <w:szCs w:val="28"/>
        </w:rPr>
        <w:t>因新成屋交易區位差異</w:t>
      </w:r>
      <w:r w:rsidR="007065DA" w:rsidRPr="00C032EB">
        <w:rPr>
          <w:rFonts w:ascii="標楷體" w:eastAsia="標楷體" w:hAnsi="標楷體" w:hint="eastAsia"/>
          <w:sz w:val="28"/>
          <w:szCs w:val="28"/>
        </w:rPr>
        <w:t>致</w:t>
      </w:r>
      <w:r w:rsidR="006C2D7B" w:rsidRPr="00C032EB">
        <w:rPr>
          <w:rFonts w:ascii="標楷體" w:eastAsia="標楷體" w:hAnsi="標楷體" w:hint="eastAsia"/>
          <w:sz w:val="28"/>
          <w:szCs w:val="28"/>
        </w:rPr>
        <w:t>交易均價波動較大</w:t>
      </w:r>
      <w:r w:rsidR="003E7228">
        <w:rPr>
          <w:rFonts w:ascii="標楷體" w:eastAsia="標楷體" w:hAnsi="標楷體" w:hint="eastAsia"/>
          <w:sz w:val="28"/>
          <w:szCs w:val="28"/>
        </w:rPr>
        <w:t>(15~29</w:t>
      </w:r>
      <w:r w:rsidR="00FB2D6A" w:rsidRPr="00C032EB">
        <w:rPr>
          <w:rFonts w:ascii="標楷體" w:eastAsia="標楷體" w:hAnsi="標楷體" w:hint="eastAsia"/>
          <w:sz w:val="28"/>
          <w:szCs w:val="28"/>
        </w:rPr>
        <w:t>萬元/坪</w:t>
      </w:r>
      <w:r w:rsidR="00361F39">
        <w:rPr>
          <w:rFonts w:ascii="標楷體" w:eastAsia="標楷體" w:hAnsi="標楷體" w:hint="eastAsia"/>
          <w:sz w:val="28"/>
          <w:szCs w:val="28"/>
        </w:rPr>
        <w:t>)</w:t>
      </w:r>
      <w:r w:rsidR="007065DA">
        <w:rPr>
          <w:rFonts w:ascii="標楷體" w:eastAsia="標楷體" w:hAnsi="標楷體" w:hint="eastAsia"/>
          <w:sz w:val="28"/>
          <w:szCs w:val="28"/>
        </w:rPr>
        <w:t>，</w:t>
      </w:r>
      <w:r w:rsidR="004A0BBE">
        <w:rPr>
          <w:rFonts w:ascii="標楷體" w:eastAsia="標楷體" w:hAnsi="標楷體" w:hint="eastAsia"/>
          <w:sz w:val="28"/>
          <w:szCs w:val="28"/>
        </w:rPr>
        <w:t>105年2</w:t>
      </w:r>
      <w:r w:rsidR="001B6BE7">
        <w:rPr>
          <w:rFonts w:ascii="標楷體" w:eastAsia="標楷體" w:hAnsi="標楷體" w:hint="eastAsia"/>
          <w:sz w:val="28"/>
          <w:szCs w:val="28"/>
        </w:rPr>
        <w:t>月新成屋交易區位</w:t>
      </w:r>
      <w:r w:rsidR="00BC7446">
        <w:rPr>
          <w:rFonts w:ascii="標楷體" w:eastAsia="標楷體" w:hAnsi="標楷體" w:hint="eastAsia"/>
          <w:sz w:val="28"/>
          <w:szCs w:val="28"/>
        </w:rPr>
        <w:t>較集中於</w:t>
      </w:r>
      <w:r w:rsidR="004A0BBE" w:rsidRPr="00C032EB">
        <w:rPr>
          <w:rFonts w:ascii="標楷體" w:eastAsia="標楷體" w:hAnsi="標楷體" w:hint="eastAsia"/>
          <w:sz w:val="28"/>
          <w:szCs w:val="28"/>
        </w:rPr>
        <w:t>機場捷運A8站區周邊</w:t>
      </w:r>
      <w:r w:rsidR="004A0BBE" w:rsidRPr="00FA3208">
        <w:rPr>
          <w:rFonts w:ascii="標楷體" w:eastAsia="標楷體" w:hAnsi="標楷體" w:hint="eastAsia"/>
          <w:sz w:val="28"/>
          <w:szCs w:val="28"/>
        </w:rPr>
        <w:t>地區</w:t>
      </w:r>
      <w:r w:rsidR="004A0BBE">
        <w:rPr>
          <w:rFonts w:ascii="標楷體" w:eastAsia="標楷體" w:hAnsi="標楷體" w:hint="eastAsia"/>
          <w:sz w:val="28"/>
          <w:szCs w:val="28"/>
        </w:rPr>
        <w:t>及</w:t>
      </w:r>
      <w:r w:rsidR="004A0BBE" w:rsidRPr="00C032EB">
        <w:rPr>
          <w:rFonts w:ascii="標楷體" w:eastAsia="標楷體" w:hAnsi="標楷體" w:hint="eastAsia"/>
          <w:sz w:val="28"/>
          <w:szCs w:val="28"/>
        </w:rPr>
        <w:t>迴龍地區</w:t>
      </w:r>
      <w:r w:rsidR="00853B50">
        <w:rPr>
          <w:rFonts w:ascii="標楷體" w:eastAsia="標楷體" w:hAnsi="標楷體" w:hint="eastAsia"/>
          <w:sz w:val="28"/>
          <w:szCs w:val="28"/>
        </w:rPr>
        <w:t>，</w:t>
      </w:r>
      <w:r w:rsidR="004A0BBE" w:rsidRPr="00FA3208">
        <w:rPr>
          <w:rFonts w:ascii="標楷體" w:eastAsia="標楷體" w:hAnsi="標楷體" w:hint="eastAsia"/>
          <w:sz w:val="28"/>
          <w:szCs w:val="28"/>
        </w:rPr>
        <w:t>1</w:t>
      </w:r>
      <w:r w:rsidR="004A0BBE">
        <w:rPr>
          <w:rFonts w:ascii="標楷體" w:eastAsia="標楷體" w:hAnsi="標楷體" w:hint="eastAsia"/>
          <w:sz w:val="28"/>
          <w:szCs w:val="28"/>
        </w:rPr>
        <w:t>05</w:t>
      </w:r>
      <w:r w:rsidR="004A0BBE" w:rsidRPr="00FA3208">
        <w:rPr>
          <w:rFonts w:ascii="標楷體" w:eastAsia="標楷體" w:hAnsi="標楷體" w:hint="eastAsia"/>
          <w:sz w:val="28"/>
          <w:szCs w:val="28"/>
        </w:rPr>
        <w:t>年</w:t>
      </w:r>
      <w:r w:rsidR="004A0BBE">
        <w:rPr>
          <w:rFonts w:ascii="標楷體" w:eastAsia="標楷體" w:hAnsi="標楷體" w:hint="eastAsia"/>
          <w:sz w:val="28"/>
          <w:szCs w:val="28"/>
        </w:rPr>
        <w:t>3</w:t>
      </w:r>
      <w:r w:rsidR="004A0BBE" w:rsidRPr="00FA3208">
        <w:rPr>
          <w:rFonts w:ascii="標楷體" w:eastAsia="標楷體" w:hAnsi="標楷體" w:hint="eastAsia"/>
          <w:sz w:val="28"/>
          <w:szCs w:val="28"/>
        </w:rPr>
        <w:t>月</w:t>
      </w:r>
      <w:r w:rsidR="004A0BBE">
        <w:rPr>
          <w:rFonts w:ascii="標楷體" w:eastAsia="標楷體" w:hAnsi="標楷體" w:hint="eastAsia"/>
          <w:sz w:val="28"/>
          <w:szCs w:val="28"/>
        </w:rPr>
        <w:t>至5</w:t>
      </w:r>
      <w:r w:rsidR="004A0BBE" w:rsidRPr="00FA3208">
        <w:rPr>
          <w:rFonts w:ascii="標楷體" w:eastAsia="標楷體" w:hAnsi="標楷體" w:hint="eastAsia"/>
          <w:sz w:val="28"/>
          <w:szCs w:val="28"/>
        </w:rPr>
        <w:t>月</w:t>
      </w:r>
      <w:r w:rsidR="004A0BBE">
        <w:rPr>
          <w:rFonts w:ascii="標楷體" w:eastAsia="標楷體" w:hAnsi="標楷體" w:hint="eastAsia"/>
          <w:sz w:val="28"/>
          <w:szCs w:val="28"/>
        </w:rPr>
        <w:t>新成屋交易</w:t>
      </w:r>
      <w:r w:rsidR="004A0BBE" w:rsidRPr="00FA3208">
        <w:rPr>
          <w:rFonts w:ascii="標楷體" w:eastAsia="標楷體" w:hAnsi="標楷體" w:hint="eastAsia"/>
          <w:sz w:val="28"/>
          <w:szCs w:val="28"/>
        </w:rPr>
        <w:t>以</w:t>
      </w:r>
      <w:r w:rsidR="004A0BBE" w:rsidRPr="00C032EB">
        <w:rPr>
          <w:rFonts w:ascii="標楷體" w:eastAsia="標楷體" w:hAnsi="標楷體" w:hint="eastAsia"/>
          <w:sz w:val="28"/>
          <w:szCs w:val="28"/>
        </w:rPr>
        <w:t>A7合宜住宅交屋比例較高</w:t>
      </w:r>
      <w:r w:rsidR="00BC7446">
        <w:rPr>
          <w:rFonts w:ascii="標楷體" w:eastAsia="標楷體" w:hAnsi="標楷體" w:hint="eastAsia"/>
          <w:sz w:val="28"/>
          <w:szCs w:val="28"/>
        </w:rPr>
        <w:t>，</w:t>
      </w:r>
      <w:r w:rsidR="006D122D">
        <w:rPr>
          <w:rFonts w:ascii="標楷體" w:eastAsia="標楷體" w:hAnsi="標楷體" w:hint="eastAsia"/>
          <w:sz w:val="28"/>
          <w:szCs w:val="28"/>
        </w:rPr>
        <w:t>本區</w:t>
      </w:r>
      <w:r w:rsidR="00BC7446">
        <w:rPr>
          <w:rFonts w:ascii="標楷體" w:eastAsia="標楷體" w:hAnsi="標楷體" w:hint="eastAsia"/>
          <w:sz w:val="28"/>
          <w:szCs w:val="28"/>
        </w:rPr>
        <w:t>近期</w:t>
      </w:r>
      <w:r w:rsidR="00361F39">
        <w:rPr>
          <w:rFonts w:ascii="標楷體" w:eastAsia="標楷體" w:hAnsi="標楷體" w:hint="eastAsia"/>
          <w:sz w:val="28"/>
          <w:szCs w:val="28"/>
        </w:rPr>
        <w:t>交易均價則介於</w:t>
      </w:r>
      <w:r w:rsidR="00BC7446">
        <w:rPr>
          <w:rFonts w:ascii="標楷體" w:eastAsia="標楷體" w:hAnsi="標楷體" w:hint="eastAsia"/>
          <w:sz w:val="28"/>
          <w:szCs w:val="28"/>
        </w:rPr>
        <w:t>19~22萬左右</w:t>
      </w:r>
      <w:r w:rsidR="00461AF3">
        <w:rPr>
          <w:rFonts w:ascii="標楷體" w:eastAsia="標楷體" w:hAnsi="標楷體" w:hint="eastAsia"/>
          <w:sz w:val="28"/>
          <w:szCs w:val="28"/>
        </w:rPr>
        <w:t>；</w:t>
      </w:r>
      <w:r w:rsidRPr="00C032EB">
        <w:rPr>
          <w:rFonts w:ascii="標楷體" w:eastAsia="標楷體" w:hAnsi="標楷體" w:hint="eastAsia"/>
          <w:sz w:val="28"/>
          <w:szCs w:val="28"/>
        </w:rPr>
        <w:t>住宅大樓中古屋</w:t>
      </w:r>
      <w:r w:rsidR="00C65ACB">
        <w:rPr>
          <w:rFonts w:ascii="標楷體" w:eastAsia="標楷體" w:hAnsi="標楷體" w:hint="eastAsia"/>
          <w:sz w:val="28"/>
          <w:szCs w:val="28"/>
        </w:rPr>
        <w:t>，</w:t>
      </w:r>
      <w:r w:rsidR="00C65ACB" w:rsidRPr="00C032EB">
        <w:rPr>
          <w:rFonts w:ascii="標楷體" w:eastAsia="標楷體" w:hAnsi="標楷體" w:hint="eastAsia"/>
          <w:sz w:val="28"/>
          <w:szCs w:val="28"/>
        </w:rPr>
        <w:t>最近一年交易均價多介於19萬元/坪上下</w:t>
      </w:r>
      <w:r w:rsidRPr="00C032EB">
        <w:rPr>
          <w:rFonts w:ascii="標楷體" w:eastAsia="標楷體" w:hAnsi="標楷體" w:hint="eastAsia"/>
          <w:sz w:val="28"/>
          <w:szCs w:val="28"/>
        </w:rPr>
        <w:t>，</w:t>
      </w:r>
      <w:r w:rsidR="007512D9">
        <w:rPr>
          <w:rFonts w:ascii="標楷體" w:eastAsia="標楷體" w:hAnsi="標楷體" w:hint="eastAsia"/>
          <w:sz w:val="28"/>
          <w:szCs w:val="28"/>
        </w:rPr>
        <w:t>106</w:t>
      </w:r>
      <w:r w:rsidR="00FB2D6A" w:rsidRPr="00C032EB">
        <w:rPr>
          <w:rFonts w:ascii="標楷體" w:eastAsia="標楷體" w:hAnsi="標楷體" w:hint="eastAsia"/>
          <w:sz w:val="28"/>
          <w:szCs w:val="28"/>
        </w:rPr>
        <w:t>年</w:t>
      </w:r>
      <w:r w:rsidR="007512D9">
        <w:rPr>
          <w:rFonts w:ascii="標楷體" w:eastAsia="標楷體" w:hAnsi="標楷體" w:hint="eastAsia"/>
          <w:sz w:val="28"/>
          <w:szCs w:val="28"/>
        </w:rPr>
        <w:t>1</w:t>
      </w:r>
      <w:r w:rsidR="00FB2D6A" w:rsidRPr="00C032EB">
        <w:rPr>
          <w:rFonts w:ascii="標楷體" w:eastAsia="標楷體" w:hAnsi="標楷體" w:hint="eastAsia"/>
          <w:sz w:val="28"/>
          <w:szCs w:val="28"/>
        </w:rPr>
        <w:t>月交易均價</w:t>
      </w:r>
      <w:r w:rsidR="007512D9">
        <w:rPr>
          <w:rFonts w:ascii="標楷體" w:eastAsia="標楷體" w:hAnsi="標楷體" w:hint="eastAsia"/>
          <w:sz w:val="28"/>
          <w:szCs w:val="28"/>
        </w:rPr>
        <w:t>16.59</w:t>
      </w:r>
      <w:r w:rsidR="00FB2D6A" w:rsidRPr="00C032EB">
        <w:rPr>
          <w:rFonts w:ascii="標楷體" w:eastAsia="標楷體" w:hAnsi="標楷體" w:hint="eastAsia"/>
          <w:sz w:val="28"/>
          <w:szCs w:val="28"/>
        </w:rPr>
        <w:t>萬元/</w:t>
      </w:r>
      <w:r w:rsidR="00C65ACB">
        <w:rPr>
          <w:rFonts w:ascii="標楷體" w:eastAsia="標楷體" w:hAnsi="標楷體" w:hint="eastAsia"/>
          <w:sz w:val="28"/>
          <w:szCs w:val="28"/>
        </w:rPr>
        <w:t>坪，</w:t>
      </w:r>
      <w:r w:rsidR="00174012">
        <w:rPr>
          <w:rFonts w:ascii="標楷體" w:eastAsia="標楷體" w:hAnsi="標楷體" w:hint="eastAsia"/>
          <w:sz w:val="28"/>
          <w:szCs w:val="28"/>
        </w:rPr>
        <w:t>係</w:t>
      </w:r>
      <w:r w:rsidR="00361F39">
        <w:rPr>
          <w:rFonts w:ascii="標楷體" w:eastAsia="標楷體" w:hAnsi="標楷體" w:hint="eastAsia"/>
          <w:sz w:val="28"/>
          <w:szCs w:val="28"/>
        </w:rPr>
        <w:t>因</w:t>
      </w:r>
      <w:r w:rsidR="00174012">
        <w:rPr>
          <w:rFonts w:ascii="標楷體" w:eastAsia="標楷體" w:hAnsi="標楷體" w:hint="eastAsia"/>
          <w:sz w:val="28"/>
          <w:szCs w:val="28"/>
        </w:rPr>
        <w:t>案例多位於</w:t>
      </w:r>
      <w:r w:rsidR="001A6D51">
        <w:rPr>
          <w:rFonts w:ascii="標楷體" w:eastAsia="標楷體" w:hAnsi="標楷體" w:hint="eastAsia"/>
          <w:sz w:val="28"/>
          <w:szCs w:val="28"/>
        </w:rPr>
        <w:t>區公所附近生活圈</w:t>
      </w:r>
      <w:r w:rsidR="00174012">
        <w:rPr>
          <w:rFonts w:ascii="標楷體" w:eastAsia="標楷體" w:hAnsi="標楷體" w:hint="eastAsia"/>
          <w:sz w:val="28"/>
          <w:szCs w:val="28"/>
        </w:rPr>
        <w:t>，單價較低所致</w:t>
      </w:r>
      <w:r w:rsidR="00C65ACB">
        <w:rPr>
          <w:rFonts w:ascii="標楷體" w:eastAsia="標楷體" w:hAnsi="標楷體" w:hint="eastAsia"/>
          <w:sz w:val="28"/>
          <w:szCs w:val="28"/>
        </w:rPr>
        <w:t>。</w:t>
      </w:r>
      <w:r w:rsidR="00DF18A0" w:rsidRPr="00C032EB">
        <w:rPr>
          <w:rFonts w:ascii="標楷體" w:eastAsia="標楷體" w:hAnsi="標楷體" w:hint="eastAsia"/>
          <w:sz w:val="28"/>
          <w:szCs w:val="28"/>
        </w:rPr>
        <w:t>本區</w:t>
      </w:r>
      <w:r w:rsidR="006C2D7B" w:rsidRPr="00C032EB">
        <w:rPr>
          <w:rFonts w:ascii="標楷體" w:eastAsia="標楷體" w:hAnsi="標楷體" w:hint="eastAsia"/>
          <w:sz w:val="28"/>
          <w:szCs w:val="28"/>
        </w:rPr>
        <w:t>部分月份</w:t>
      </w:r>
      <w:proofErr w:type="gramStart"/>
      <w:r w:rsidR="00DF18A0" w:rsidRPr="00C032EB">
        <w:rPr>
          <w:rFonts w:ascii="標楷體" w:eastAsia="標楷體" w:hAnsi="標楷體" w:hint="eastAsia"/>
          <w:sz w:val="28"/>
          <w:szCs w:val="28"/>
        </w:rPr>
        <w:t>中古屋均價高於</w:t>
      </w:r>
      <w:proofErr w:type="gramEnd"/>
      <w:r w:rsidR="006C2D7B" w:rsidRPr="00C032EB">
        <w:rPr>
          <w:rFonts w:ascii="標楷體" w:eastAsia="標楷體" w:hAnsi="標楷體" w:hint="eastAsia"/>
          <w:sz w:val="28"/>
          <w:szCs w:val="28"/>
        </w:rPr>
        <w:t>新成屋，分析</w:t>
      </w:r>
      <w:r w:rsidR="00FB2D6A" w:rsidRPr="00C032EB">
        <w:rPr>
          <w:rFonts w:ascii="標楷體" w:eastAsia="標楷體" w:hAnsi="標楷體" w:hint="eastAsia"/>
          <w:sz w:val="28"/>
          <w:szCs w:val="28"/>
        </w:rPr>
        <w:t>其</w:t>
      </w:r>
      <w:r w:rsidR="006C2D7B" w:rsidRPr="00C032EB">
        <w:rPr>
          <w:rFonts w:ascii="標楷體" w:eastAsia="標楷體" w:hAnsi="標楷體" w:hint="eastAsia"/>
          <w:sz w:val="28"/>
          <w:szCs w:val="28"/>
        </w:rPr>
        <w:t>原因為</w:t>
      </w:r>
      <w:r w:rsidR="00FF1EC1" w:rsidRPr="00C032EB">
        <w:rPr>
          <w:rFonts w:ascii="標楷體" w:eastAsia="標楷體" w:hAnsi="標楷體" w:hint="eastAsia"/>
          <w:sz w:val="28"/>
          <w:szCs w:val="28"/>
        </w:rPr>
        <w:t>本區中古屋交易案件數量較少，</w:t>
      </w:r>
      <w:r w:rsidR="00361F39">
        <w:rPr>
          <w:rFonts w:ascii="標楷體" w:eastAsia="標楷體" w:hAnsi="標楷體" w:hint="eastAsia"/>
          <w:sz w:val="28"/>
          <w:szCs w:val="28"/>
        </w:rPr>
        <w:t>交易</w:t>
      </w:r>
      <w:proofErr w:type="gramStart"/>
      <w:r w:rsidR="00BC7446">
        <w:rPr>
          <w:rFonts w:ascii="標楷體" w:eastAsia="標楷體" w:hAnsi="標楷體" w:hint="eastAsia"/>
          <w:sz w:val="28"/>
          <w:szCs w:val="28"/>
        </w:rPr>
        <w:t>均價</w:t>
      </w:r>
      <w:r w:rsidR="00FF1EC1" w:rsidRPr="00C032EB">
        <w:rPr>
          <w:rFonts w:ascii="標楷體" w:eastAsia="標楷體" w:hAnsi="標楷體" w:hint="eastAsia"/>
          <w:sz w:val="28"/>
          <w:szCs w:val="28"/>
        </w:rPr>
        <w:t>易</w:t>
      </w:r>
      <w:proofErr w:type="gramEnd"/>
      <w:r w:rsidR="00FF1EC1" w:rsidRPr="00C032EB">
        <w:rPr>
          <w:rFonts w:ascii="標楷體" w:eastAsia="標楷體" w:hAnsi="標楷體" w:hint="eastAsia"/>
          <w:sz w:val="28"/>
          <w:szCs w:val="28"/>
        </w:rPr>
        <w:t>受到區位因素影響(如中古屋案件多位於</w:t>
      </w:r>
      <w:proofErr w:type="gramStart"/>
      <w:r w:rsidR="00FF1EC1" w:rsidRPr="00C032EB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="00FF1EC1" w:rsidRPr="00C032EB">
        <w:rPr>
          <w:rFonts w:ascii="標楷體" w:eastAsia="標楷體" w:hAnsi="標楷體" w:hint="eastAsia"/>
          <w:sz w:val="28"/>
          <w:szCs w:val="28"/>
        </w:rPr>
        <w:t>龍地區或機場捷運A8站區周邊，或</w:t>
      </w:r>
      <w:r w:rsidR="006C2D7B" w:rsidRPr="00C032EB">
        <w:rPr>
          <w:rFonts w:ascii="標楷體" w:eastAsia="標楷體" w:hAnsi="標楷體" w:hint="eastAsia"/>
          <w:sz w:val="28"/>
          <w:szCs w:val="28"/>
        </w:rPr>
        <w:t>當月新成屋</w:t>
      </w:r>
      <w:r w:rsidR="00FB2D6A" w:rsidRPr="00C032EB">
        <w:rPr>
          <w:rFonts w:ascii="標楷體" w:eastAsia="標楷體" w:hAnsi="標楷體" w:hint="eastAsia"/>
          <w:sz w:val="28"/>
          <w:szCs w:val="28"/>
        </w:rPr>
        <w:t>交易區位較差</w:t>
      </w:r>
      <w:r w:rsidR="008F394A" w:rsidRPr="00C032EB">
        <w:rPr>
          <w:rFonts w:ascii="標楷體" w:eastAsia="標楷體" w:hAnsi="標楷體" w:hint="eastAsia"/>
          <w:sz w:val="28"/>
          <w:szCs w:val="28"/>
        </w:rPr>
        <w:t>與</w:t>
      </w:r>
      <w:r w:rsidR="006C2D7B" w:rsidRPr="00C032EB">
        <w:rPr>
          <w:rFonts w:ascii="標楷體" w:eastAsia="標楷體" w:hAnsi="標楷體" w:hint="eastAsia"/>
          <w:sz w:val="28"/>
          <w:szCs w:val="28"/>
        </w:rPr>
        <w:t>A7</w:t>
      </w:r>
      <w:r w:rsidR="00FF1EC1" w:rsidRPr="00C032EB">
        <w:rPr>
          <w:rFonts w:ascii="標楷體" w:eastAsia="標楷體" w:hAnsi="標楷體" w:hint="eastAsia"/>
          <w:sz w:val="28"/>
          <w:szCs w:val="28"/>
        </w:rPr>
        <w:t>合宜住宅交屋比例較高</w:t>
      </w:r>
      <w:r w:rsidR="00361F39">
        <w:rPr>
          <w:rFonts w:ascii="標楷體" w:eastAsia="標楷體" w:hAnsi="標楷體" w:hint="eastAsia"/>
          <w:sz w:val="28"/>
          <w:szCs w:val="28"/>
        </w:rPr>
        <w:t>)</w:t>
      </w:r>
      <w:r w:rsidR="00FF1EC1" w:rsidRPr="00C032EB">
        <w:rPr>
          <w:rFonts w:ascii="標楷體" w:eastAsia="標楷體" w:hAnsi="標楷體" w:hint="eastAsia"/>
          <w:sz w:val="28"/>
          <w:szCs w:val="28"/>
        </w:rPr>
        <w:t>所致</w:t>
      </w:r>
      <w:r w:rsidR="004E39BC" w:rsidRPr="00C032EB">
        <w:rPr>
          <w:rFonts w:ascii="標楷體" w:eastAsia="標楷體" w:hAnsi="標楷體" w:hint="eastAsia"/>
          <w:sz w:val="28"/>
          <w:szCs w:val="28"/>
        </w:rPr>
        <w:t>。</w:t>
      </w:r>
    </w:p>
    <w:p w:rsidR="004E39BC" w:rsidRDefault="007065DA" w:rsidP="00FB2D6A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w:drawing>
          <wp:anchor distT="0" distB="0" distL="114300" distR="114300" simplePos="0" relativeHeight="251710464" behindDoc="1" locked="0" layoutInCell="1" allowOverlap="1" wp14:anchorId="4F708FC0" wp14:editId="2C47A2ED">
            <wp:simplePos x="0" y="0"/>
            <wp:positionH relativeFrom="column">
              <wp:posOffset>93980</wp:posOffset>
            </wp:positionH>
            <wp:positionV relativeFrom="paragraph">
              <wp:posOffset>231775</wp:posOffset>
            </wp:positionV>
            <wp:extent cx="5210810" cy="2114550"/>
            <wp:effectExtent l="0" t="0" r="27940" b="19050"/>
            <wp:wrapNone/>
            <wp:docPr id="14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4E39BC" w:rsidRDefault="004E39BC" w:rsidP="00FB2D6A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4E39BC" w:rsidRDefault="004E39BC" w:rsidP="00FB2D6A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4E39BC" w:rsidRDefault="004E39BC" w:rsidP="00FB2D6A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4E39BC" w:rsidRDefault="004E39BC" w:rsidP="00FB2D6A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4E39BC" w:rsidRDefault="004E39BC" w:rsidP="00FB2D6A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4E39BC" w:rsidRPr="00FB2D6A" w:rsidRDefault="004E39BC" w:rsidP="00FB2D6A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AC6325" w:rsidRPr="00DA5D0A" w:rsidRDefault="00AC6325" w:rsidP="00214631">
      <w:pPr>
        <w:spacing w:beforeLines="30" w:before="108"/>
        <w:ind w:rightChars="96" w:right="230"/>
        <w:rPr>
          <w:rFonts w:ascii="微軟正黑體" w:eastAsia="微軟正黑體" w:hAnsi="微軟正黑體"/>
          <w:b/>
          <w:sz w:val="28"/>
          <w:szCs w:val="28"/>
        </w:rPr>
      </w:pPr>
    </w:p>
    <w:p w:rsidR="00DA5D0A" w:rsidRDefault="00214631" w:rsidP="004E39BC">
      <w:pPr>
        <w:spacing w:line="400" w:lineRule="exact"/>
        <w:ind w:rightChars="37" w:right="89" w:firstLineChars="150" w:firstLine="30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2455545</wp:posOffset>
                </wp:positionH>
                <wp:positionV relativeFrom="paragraph">
                  <wp:posOffset>43180</wp:posOffset>
                </wp:positionV>
                <wp:extent cx="2947670" cy="32004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DB62B1" w:rsidRDefault="00E02A61" w:rsidP="0005517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龜山區住宅大樓新成屋及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中古屋均價走勢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93.35pt;margin-top:3.4pt;width:232.1pt;height:25.2pt;z-index:25170534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" filled="f" stroked="f">
                <v:textbox style="mso-fit-shape-to-text:t">
                  <w:txbxContent>
                    <w:p w:rsidR="00E02A61" w:rsidRPr="00DB62B1" w:rsidRDefault="00E02A61" w:rsidP="0005517D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圖、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龜山區住宅大樓新成屋及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中古屋均價走勢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39BC" w:rsidRDefault="004E39BC" w:rsidP="00DA5D0A">
      <w:pPr>
        <w:spacing w:line="400" w:lineRule="exact"/>
        <w:ind w:rightChars="37" w:right="89" w:firstLineChars="150" w:firstLine="360"/>
        <w:jc w:val="both"/>
        <w:rPr>
          <w:rFonts w:ascii="微軟正黑體" w:eastAsia="微軟正黑體" w:hAnsi="微軟正黑體"/>
          <w:szCs w:val="24"/>
        </w:rPr>
      </w:pPr>
    </w:p>
    <w:p w:rsidR="00C032EB" w:rsidRPr="00780169" w:rsidRDefault="00DA5D0A" w:rsidP="00780169">
      <w:pPr>
        <w:pStyle w:val="a3"/>
        <w:numPr>
          <w:ilvl w:val="0"/>
          <w:numId w:val="3"/>
        </w:numPr>
        <w:spacing w:line="400" w:lineRule="exact"/>
        <w:ind w:leftChars="0" w:rightChars="37" w:right="89"/>
        <w:jc w:val="both"/>
        <w:rPr>
          <w:rFonts w:ascii="標楷體" w:eastAsia="標楷體" w:hAnsi="標楷體"/>
          <w:sz w:val="28"/>
          <w:szCs w:val="28"/>
        </w:rPr>
      </w:pPr>
      <w:r w:rsidRPr="00C032EB">
        <w:rPr>
          <w:rFonts w:ascii="標楷體" w:eastAsia="標楷體" w:hAnsi="標楷體" w:hint="eastAsia"/>
          <w:sz w:val="28"/>
          <w:szCs w:val="28"/>
        </w:rPr>
        <w:t>蘆竹區住宅大樓新成屋，</w:t>
      </w:r>
      <w:r w:rsidR="003B1C52">
        <w:rPr>
          <w:rFonts w:ascii="標楷體" w:eastAsia="標楷體" w:hAnsi="標楷體" w:hint="eastAsia"/>
          <w:sz w:val="28"/>
          <w:szCs w:val="28"/>
        </w:rPr>
        <w:t>106</w:t>
      </w:r>
      <w:r w:rsidR="007B207F" w:rsidRPr="00C032EB">
        <w:rPr>
          <w:rFonts w:ascii="標楷體" w:eastAsia="標楷體" w:hAnsi="標楷體" w:hint="eastAsia"/>
          <w:sz w:val="28"/>
          <w:szCs w:val="28"/>
        </w:rPr>
        <w:t>年</w:t>
      </w:r>
      <w:r w:rsidR="003B1C52">
        <w:rPr>
          <w:rFonts w:ascii="標楷體" w:eastAsia="標楷體" w:hAnsi="標楷體" w:hint="eastAsia"/>
          <w:sz w:val="28"/>
          <w:szCs w:val="28"/>
        </w:rPr>
        <w:t>1</w:t>
      </w:r>
      <w:r w:rsidR="007B207F" w:rsidRPr="00C032EB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="007B207F" w:rsidRPr="00C032EB">
        <w:rPr>
          <w:rFonts w:ascii="標楷體" w:eastAsia="標楷體" w:hAnsi="標楷體" w:hint="eastAsia"/>
          <w:sz w:val="28"/>
          <w:szCs w:val="28"/>
        </w:rPr>
        <w:t>交易均價</w:t>
      </w:r>
      <w:r w:rsidR="003B1C52">
        <w:rPr>
          <w:rFonts w:ascii="標楷體" w:eastAsia="標楷體" w:hAnsi="標楷體" w:hint="eastAsia"/>
          <w:sz w:val="28"/>
          <w:szCs w:val="28"/>
        </w:rPr>
        <w:t>21.96</w:t>
      </w:r>
      <w:r w:rsidR="007B207F" w:rsidRPr="00C032EB">
        <w:rPr>
          <w:rFonts w:ascii="標楷體" w:eastAsia="標楷體" w:hAnsi="標楷體" w:hint="eastAsia"/>
          <w:sz w:val="28"/>
          <w:szCs w:val="28"/>
        </w:rPr>
        <w:t>萬元</w:t>
      </w:r>
      <w:proofErr w:type="gramEnd"/>
      <w:r w:rsidR="007B207F" w:rsidRPr="00C032EB">
        <w:rPr>
          <w:rFonts w:ascii="標楷體" w:eastAsia="標楷體" w:hAnsi="標楷體" w:hint="eastAsia"/>
          <w:sz w:val="28"/>
          <w:szCs w:val="28"/>
        </w:rPr>
        <w:t>/坪，</w:t>
      </w:r>
      <w:r w:rsidRPr="00C032EB">
        <w:rPr>
          <w:rFonts w:ascii="標楷體" w:eastAsia="標楷體" w:hAnsi="標楷體" w:hint="eastAsia"/>
          <w:sz w:val="28"/>
          <w:szCs w:val="28"/>
        </w:rPr>
        <w:t>最近一年</w:t>
      </w:r>
      <w:proofErr w:type="gramStart"/>
      <w:r w:rsidRPr="00C032EB">
        <w:rPr>
          <w:rFonts w:ascii="標楷體" w:eastAsia="標楷體" w:hAnsi="標楷體" w:hint="eastAsia"/>
          <w:sz w:val="28"/>
          <w:szCs w:val="28"/>
        </w:rPr>
        <w:t>交易均價介於</w:t>
      </w:r>
      <w:proofErr w:type="gramEnd"/>
      <w:r w:rsidRPr="00C032EB">
        <w:rPr>
          <w:rFonts w:ascii="標楷體" w:eastAsia="標楷體" w:hAnsi="標楷體" w:hint="eastAsia"/>
          <w:sz w:val="28"/>
          <w:szCs w:val="28"/>
        </w:rPr>
        <w:t>21~</w:t>
      </w:r>
      <w:r w:rsidR="00FF1EC1" w:rsidRPr="00C032EB">
        <w:rPr>
          <w:rFonts w:ascii="標楷體" w:eastAsia="標楷體" w:hAnsi="標楷體" w:hint="eastAsia"/>
          <w:sz w:val="28"/>
          <w:szCs w:val="28"/>
        </w:rPr>
        <w:t>25</w:t>
      </w:r>
      <w:r w:rsidRPr="00C032EB">
        <w:rPr>
          <w:rFonts w:ascii="標楷體" w:eastAsia="標楷體" w:hAnsi="標楷體" w:hint="eastAsia"/>
          <w:sz w:val="28"/>
          <w:szCs w:val="28"/>
        </w:rPr>
        <w:t>萬元/坪間</w:t>
      </w:r>
      <w:r w:rsidR="004F733D">
        <w:rPr>
          <w:rFonts w:ascii="標楷體" w:eastAsia="標楷體" w:hAnsi="標楷體" w:hint="eastAsia"/>
          <w:sz w:val="28"/>
          <w:szCs w:val="28"/>
        </w:rPr>
        <w:t>，</w:t>
      </w:r>
      <w:r w:rsidR="008604E6">
        <w:rPr>
          <w:rFonts w:ascii="標楷體" w:eastAsia="標楷體" w:hAnsi="標楷體" w:hint="eastAsia"/>
          <w:sz w:val="28"/>
          <w:szCs w:val="28"/>
        </w:rPr>
        <w:t>自</w:t>
      </w:r>
      <w:r w:rsidR="007B207F" w:rsidRPr="00C032EB">
        <w:rPr>
          <w:rFonts w:ascii="標楷體" w:eastAsia="標楷體" w:hAnsi="標楷體" w:hint="eastAsia"/>
          <w:sz w:val="28"/>
          <w:szCs w:val="28"/>
        </w:rPr>
        <w:t>105年9</w:t>
      </w:r>
      <w:r w:rsidR="00325515">
        <w:rPr>
          <w:rFonts w:ascii="標楷體" w:eastAsia="標楷體" w:hAnsi="標楷體" w:hint="eastAsia"/>
          <w:sz w:val="28"/>
          <w:szCs w:val="28"/>
        </w:rPr>
        <w:t>月起</w:t>
      </w:r>
      <w:r w:rsidR="004F733D">
        <w:rPr>
          <w:rFonts w:ascii="標楷體" w:eastAsia="標楷體" w:hAnsi="標楷體" w:hint="eastAsia"/>
          <w:sz w:val="28"/>
          <w:szCs w:val="28"/>
        </w:rPr>
        <w:t>微幅下降至22萬</w:t>
      </w:r>
      <w:r w:rsidR="00A56FDF">
        <w:rPr>
          <w:rFonts w:ascii="標楷體" w:eastAsia="標楷體" w:hAnsi="標楷體" w:hint="eastAsia"/>
          <w:sz w:val="28"/>
          <w:szCs w:val="28"/>
        </w:rPr>
        <w:t>/坪</w:t>
      </w:r>
      <w:r w:rsidR="004F733D">
        <w:rPr>
          <w:rFonts w:ascii="標楷體" w:eastAsia="標楷體" w:hAnsi="標楷體" w:hint="eastAsia"/>
          <w:sz w:val="28"/>
          <w:szCs w:val="28"/>
        </w:rPr>
        <w:t>以下</w:t>
      </w:r>
      <w:r w:rsidR="00325515">
        <w:rPr>
          <w:rFonts w:ascii="標楷體" w:eastAsia="標楷體" w:hAnsi="標楷體" w:hint="eastAsia"/>
          <w:sz w:val="28"/>
          <w:szCs w:val="28"/>
        </w:rPr>
        <w:t>；</w:t>
      </w:r>
      <w:r w:rsidRPr="00C032EB">
        <w:rPr>
          <w:rFonts w:ascii="標楷體" w:eastAsia="標楷體" w:hAnsi="標楷體" w:hint="eastAsia"/>
          <w:sz w:val="28"/>
          <w:szCs w:val="28"/>
        </w:rPr>
        <w:t>住宅大樓中古屋，</w:t>
      </w:r>
      <w:r w:rsidR="003B1C52">
        <w:rPr>
          <w:rFonts w:ascii="標楷體" w:eastAsia="標楷體" w:hAnsi="標楷體" w:hint="eastAsia"/>
          <w:sz w:val="28"/>
          <w:szCs w:val="28"/>
        </w:rPr>
        <w:t>106</w:t>
      </w:r>
      <w:r w:rsidR="007B207F" w:rsidRPr="00C032EB">
        <w:rPr>
          <w:rFonts w:ascii="標楷體" w:eastAsia="標楷體" w:hAnsi="標楷體" w:hint="eastAsia"/>
          <w:sz w:val="28"/>
          <w:szCs w:val="28"/>
        </w:rPr>
        <w:t>年</w:t>
      </w:r>
      <w:r w:rsidR="003B1C52">
        <w:rPr>
          <w:rFonts w:ascii="標楷體" w:eastAsia="標楷體" w:hAnsi="標楷體" w:hint="eastAsia"/>
          <w:sz w:val="28"/>
          <w:szCs w:val="28"/>
        </w:rPr>
        <w:t>1</w:t>
      </w:r>
      <w:r w:rsidR="007B207F" w:rsidRPr="00C032EB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="007B207F" w:rsidRPr="00C032EB">
        <w:rPr>
          <w:rFonts w:ascii="標楷體" w:eastAsia="標楷體" w:hAnsi="標楷體" w:hint="eastAsia"/>
          <w:sz w:val="28"/>
          <w:szCs w:val="28"/>
        </w:rPr>
        <w:t>交易均價</w:t>
      </w:r>
      <w:r w:rsidR="003B1C52">
        <w:rPr>
          <w:rFonts w:ascii="標楷體" w:eastAsia="標楷體" w:hAnsi="標楷體" w:hint="eastAsia"/>
          <w:sz w:val="28"/>
          <w:szCs w:val="28"/>
        </w:rPr>
        <w:t>19.36</w:t>
      </w:r>
      <w:r w:rsidR="007B207F" w:rsidRPr="00C032EB">
        <w:rPr>
          <w:rFonts w:ascii="標楷體" w:eastAsia="標楷體" w:hAnsi="標楷體" w:hint="eastAsia"/>
          <w:sz w:val="28"/>
          <w:szCs w:val="28"/>
        </w:rPr>
        <w:t>萬元</w:t>
      </w:r>
      <w:proofErr w:type="gramEnd"/>
      <w:r w:rsidR="007B207F" w:rsidRPr="00C032EB">
        <w:rPr>
          <w:rFonts w:ascii="標楷體" w:eastAsia="標楷體" w:hAnsi="標楷體" w:hint="eastAsia"/>
          <w:sz w:val="28"/>
          <w:szCs w:val="28"/>
        </w:rPr>
        <w:t>/坪，</w:t>
      </w:r>
      <w:r w:rsidRPr="00C032EB">
        <w:rPr>
          <w:rFonts w:ascii="標楷體" w:eastAsia="標楷體" w:hAnsi="標楷體" w:hint="eastAsia"/>
          <w:sz w:val="28"/>
          <w:szCs w:val="28"/>
        </w:rPr>
        <w:t>最近一年交易</w:t>
      </w:r>
      <w:proofErr w:type="gramStart"/>
      <w:r w:rsidRPr="00C032EB">
        <w:rPr>
          <w:rFonts w:ascii="標楷體" w:eastAsia="標楷體" w:hAnsi="標楷體" w:hint="eastAsia"/>
          <w:sz w:val="28"/>
          <w:szCs w:val="28"/>
        </w:rPr>
        <w:t>均價多</w:t>
      </w:r>
      <w:proofErr w:type="gramEnd"/>
      <w:r w:rsidRPr="00C032EB">
        <w:rPr>
          <w:rFonts w:ascii="標楷體" w:eastAsia="標楷體" w:hAnsi="標楷體" w:hint="eastAsia"/>
          <w:sz w:val="28"/>
          <w:szCs w:val="28"/>
        </w:rPr>
        <w:t>介於19萬元/坪上下</w:t>
      </w:r>
      <w:r w:rsidR="007B207F" w:rsidRPr="00C032E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82466">
        <w:rPr>
          <w:rFonts w:ascii="標楷體" w:eastAsia="標楷體" w:hAnsi="標楷體" w:hint="eastAsia"/>
          <w:sz w:val="28"/>
          <w:szCs w:val="28"/>
        </w:rPr>
        <w:t>中古屋均價走勢</w:t>
      </w:r>
      <w:proofErr w:type="gramEnd"/>
      <w:r w:rsidR="006C2D7B" w:rsidRPr="00C032EB">
        <w:rPr>
          <w:rFonts w:ascii="標楷體" w:eastAsia="標楷體" w:hAnsi="標楷體" w:hint="eastAsia"/>
          <w:sz w:val="28"/>
          <w:szCs w:val="28"/>
        </w:rPr>
        <w:t>平穩。</w:t>
      </w:r>
    </w:p>
    <w:p w:rsidR="0005517D" w:rsidRDefault="00C032EB" w:rsidP="00214631">
      <w:pPr>
        <w:spacing w:afterLines="50" w:after="180" w:line="400" w:lineRule="exact"/>
        <w:ind w:rightChars="96" w:right="23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129226</wp:posOffset>
            </wp:positionV>
            <wp:extent cx="5209429" cy="2109967"/>
            <wp:effectExtent l="0" t="0" r="10795" b="24130"/>
            <wp:wrapNone/>
            <wp:docPr id="19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05517D" w:rsidRDefault="0005517D" w:rsidP="00214631">
      <w:pPr>
        <w:spacing w:afterLines="50" w:after="180" w:line="400" w:lineRule="exact"/>
        <w:ind w:rightChars="96" w:right="230"/>
        <w:jc w:val="both"/>
        <w:rPr>
          <w:rFonts w:ascii="微軟正黑體" w:eastAsia="微軟正黑體" w:hAnsi="微軟正黑體"/>
          <w:sz w:val="20"/>
          <w:szCs w:val="20"/>
        </w:rPr>
      </w:pPr>
    </w:p>
    <w:p w:rsidR="0005517D" w:rsidRDefault="0005517D" w:rsidP="00214631">
      <w:pPr>
        <w:spacing w:afterLines="50" w:after="180" w:line="400" w:lineRule="exact"/>
        <w:ind w:rightChars="96" w:right="230"/>
        <w:jc w:val="both"/>
        <w:rPr>
          <w:rFonts w:ascii="微軟正黑體" w:eastAsia="微軟正黑體" w:hAnsi="微軟正黑體"/>
          <w:sz w:val="20"/>
          <w:szCs w:val="20"/>
        </w:rPr>
      </w:pPr>
    </w:p>
    <w:p w:rsidR="0005517D" w:rsidRPr="00325515" w:rsidRDefault="0005517D" w:rsidP="00214631">
      <w:pPr>
        <w:spacing w:afterLines="50" w:after="180" w:line="400" w:lineRule="exact"/>
        <w:ind w:rightChars="96" w:right="230"/>
        <w:jc w:val="both"/>
        <w:rPr>
          <w:rFonts w:ascii="微軟正黑體" w:eastAsia="微軟正黑體" w:hAnsi="微軟正黑體"/>
          <w:sz w:val="20"/>
          <w:szCs w:val="20"/>
        </w:rPr>
      </w:pPr>
    </w:p>
    <w:p w:rsidR="0005517D" w:rsidRDefault="0005517D" w:rsidP="00214631">
      <w:pPr>
        <w:spacing w:afterLines="50" w:after="180" w:line="400" w:lineRule="exact"/>
        <w:ind w:rightChars="96" w:right="230"/>
        <w:jc w:val="both"/>
        <w:rPr>
          <w:rFonts w:ascii="微軟正黑體" w:eastAsia="微軟正黑體" w:hAnsi="微軟正黑體"/>
          <w:sz w:val="20"/>
          <w:szCs w:val="20"/>
        </w:rPr>
      </w:pPr>
    </w:p>
    <w:p w:rsidR="0005517D" w:rsidRDefault="0005517D" w:rsidP="00214631">
      <w:pPr>
        <w:spacing w:afterLines="50" w:after="180" w:line="400" w:lineRule="exact"/>
        <w:ind w:rightChars="96" w:right="230"/>
        <w:jc w:val="both"/>
        <w:rPr>
          <w:rFonts w:ascii="微軟正黑體" w:eastAsia="微軟正黑體" w:hAnsi="微軟正黑體"/>
          <w:sz w:val="20"/>
          <w:szCs w:val="20"/>
        </w:rPr>
      </w:pPr>
    </w:p>
    <w:p w:rsidR="0005517D" w:rsidRPr="007D7A7E" w:rsidRDefault="00214631" w:rsidP="0096685B">
      <w:pPr>
        <w:spacing w:afterLines="50" w:after="180" w:line="400" w:lineRule="exact"/>
        <w:ind w:rightChars="96" w:right="23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2336165</wp:posOffset>
                </wp:positionH>
                <wp:positionV relativeFrom="paragraph">
                  <wp:posOffset>60960</wp:posOffset>
                </wp:positionV>
                <wp:extent cx="2947670" cy="320040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61" w:rsidRPr="00DB62B1" w:rsidRDefault="00E02A61" w:rsidP="00065D8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B62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蘆竹區住宅大樓新成屋及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中古屋均價走勢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83.95pt;margin-top:4.8pt;width:232.1pt;height:25.2pt;z-index:25170739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" filled="f" stroked="f">
                <v:textbox style="mso-fit-shape-to-text:t">
                  <w:txbxContent>
                    <w:p w:rsidR="00E02A61" w:rsidRPr="00DB62B1" w:rsidRDefault="00E02A61" w:rsidP="00065D8F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B62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圖、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蘆竹區住宅大樓新成屋及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中古屋均價走勢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5517D" w:rsidRPr="007D7A7E" w:rsidSect="00D51742">
      <w:footerReference w:type="default" r:id="rId24"/>
      <w:pgSz w:w="11906" w:h="16838" w:code="9"/>
      <w:pgMar w:top="567" w:right="1797" w:bottom="567" w:left="1797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F0" w:rsidRDefault="004663F0" w:rsidP="004D2F9E">
      <w:r>
        <w:separator/>
      </w:r>
    </w:p>
  </w:endnote>
  <w:endnote w:type="continuationSeparator" w:id="0">
    <w:p w:rsidR="004663F0" w:rsidRDefault="004663F0" w:rsidP="004D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361612"/>
      <w:docPartObj>
        <w:docPartGallery w:val="Page Numbers (Bottom of Page)"/>
        <w:docPartUnique/>
      </w:docPartObj>
    </w:sdtPr>
    <w:sdtEndPr/>
    <w:sdtContent>
      <w:p w:rsidR="00E02A61" w:rsidRDefault="00E02A6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D37" w:rsidRPr="00787D37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E02A61" w:rsidRDefault="00E02A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F0" w:rsidRDefault="004663F0" w:rsidP="004D2F9E">
      <w:r>
        <w:separator/>
      </w:r>
    </w:p>
  </w:footnote>
  <w:footnote w:type="continuationSeparator" w:id="0">
    <w:p w:rsidR="004663F0" w:rsidRDefault="004663F0" w:rsidP="004D2F9E">
      <w:r>
        <w:continuationSeparator/>
      </w:r>
    </w:p>
  </w:footnote>
  <w:footnote w:id="1">
    <w:p w:rsidR="00E02A61" w:rsidRPr="00DF135E" w:rsidRDefault="00E02A61" w:rsidP="001A6D51">
      <w:pPr>
        <w:pStyle w:val="a4"/>
        <w:ind w:left="284" w:hangingChars="142" w:hanging="284"/>
      </w:pPr>
      <w:r>
        <w:rPr>
          <w:rStyle w:val="a6"/>
        </w:rPr>
        <w:footnoteRef/>
      </w:r>
      <w:r>
        <w:rPr>
          <w:rFonts w:hint="eastAsia"/>
        </w:rPr>
        <w:t xml:space="preserve"> </w:t>
      </w:r>
      <w:r w:rsidRPr="00DF135E">
        <w:rPr>
          <w:rFonts w:hint="eastAsia"/>
        </w:rPr>
        <w:t>本文內</w:t>
      </w:r>
      <w:r>
        <w:rPr>
          <w:rFonts w:hint="eastAsia"/>
        </w:rPr>
        <w:t>住宅大樓新成屋，僅分析</w:t>
      </w:r>
      <w:r w:rsidRPr="00D85A2E">
        <w:rPr>
          <w:rFonts w:hint="eastAsia"/>
        </w:rPr>
        <w:t>屋齡</w:t>
      </w:r>
      <w:r>
        <w:rPr>
          <w:rFonts w:hint="eastAsia"/>
        </w:rPr>
        <w:t>2</w:t>
      </w:r>
      <w:r>
        <w:rPr>
          <w:rFonts w:hint="eastAsia"/>
        </w:rPr>
        <w:t>年</w:t>
      </w:r>
      <w:proofErr w:type="gramStart"/>
      <w:r>
        <w:rPr>
          <w:rFonts w:hint="eastAsia"/>
        </w:rPr>
        <w:t>以內、</w:t>
      </w:r>
      <w:proofErr w:type="gramEnd"/>
      <w:r>
        <w:rPr>
          <w:rFonts w:hint="eastAsia"/>
        </w:rPr>
        <w:t>樓層為二樓以上之大樓及華廈型態建物，並</w:t>
      </w:r>
      <w:r w:rsidRPr="00DF135E">
        <w:rPr>
          <w:rFonts w:hint="eastAsia"/>
        </w:rPr>
        <w:t>去除含備註欄特殊交易資料。</w:t>
      </w:r>
    </w:p>
  </w:footnote>
  <w:footnote w:id="2">
    <w:p w:rsidR="00E02A61" w:rsidRPr="00DF135E" w:rsidRDefault="00E02A61" w:rsidP="001A6D51">
      <w:pPr>
        <w:pStyle w:val="a4"/>
        <w:ind w:left="284" w:hangingChars="142" w:hanging="284"/>
      </w:pPr>
      <w:r>
        <w:rPr>
          <w:rStyle w:val="a6"/>
        </w:rPr>
        <w:footnoteRef/>
      </w:r>
      <w:r w:rsidRPr="00DF135E">
        <w:rPr>
          <w:rFonts w:hint="eastAsia"/>
        </w:rPr>
        <w:t>本文內</w:t>
      </w:r>
      <w:r>
        <w:rPr>
          <w:rFonts w:hint="eastAsia"/>
        </w:rPr>
        <w:t>住宅大樓中古屋，僅分析</w:t>
      </w:r>
      <w:r w:rsidRPr="00D85A2E">
        <w:rPr>
          <w:rFonts w:hint="eastAsia"/>
        </w:rPr>
        <w:t>屋齡</w:t>
      </w:r>
      <w:r>
        <w:rPr>
          <w:rFonts w:hint="eastAsia"/>
        </w:rPr>
        <w:t>2</w:t>
      </w:r>
      <w:r>
        <w:rPr>
          <w:rFonts w:hint="eastAsia"/>
        </w:rPr>
        <w:t>年以上、樓層為二樓以上之大樓及華廈型態建物，並</w:t>
      </w:r>
      <w:r w:rsidRPr="00DF135E">
        <w:rPr>
          <w:rFonts w:hint="eastAsia"/>
        </w:rPr>
        <w:t>去除含備註欄特殊交易資料。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373"/>
    <w:multiLevelType w:val="hybridMultilevel"/>
    <w:tmpl w:val="6F06A13A"/>
    <w:lvl w:ilvl="0" w:tplc="CE482C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A1317E"/>
    <w:multiLevelType w:val="hybridMultilevel"/>
    <w:tmpl w:val="F9D05EEE"/>
    <w:lvl w:ilvl="0" w:tplc="4202B67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7F0F5B"/>
    <w:multiLevelType w:val="hybridMultilevel"/>
    <w:tmpl w:val="8A4035A0"/>
    <w:lvl w:ilvl="0" w:tplc="04090005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</w:abstractNum>
  <w:abstractNum w:abstractNumId="3">
    <w:nsid w:val="7FD5731E"/>
    <w:multiLevelType w:val="hybridMultilevel"/>
    <w:tmpl w:val="183C3A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9E"/>
    <w:rsid w:val="00000114"/>
    <w:rsid w:val="00000963"/>
    <w:rsid w:val="00000A9D"/>
    <w:rsid w:val="00002B3D"/>
    <w:rsid w:val="00002D13"/>
    <w:rsid w:val="00011EF4"/>
    <w:rsid w:val="0002122A"/>
    <w:rsid w:val="00021366"/>
    <w:rsid w:val="00021A65"/>
    <w:rsid w:val="000235EF"/>
    <w:rsid w:val="00023FF1"/>
    <w:rsid w:val="00025D90"/>
    <w:rsid w:val="00026A22"/>
    <w:rsid w:val="00032416"/>
    <w:rsid w:val="00034046"/>
    <w:rsid w:val="000403FE"/>
    <w:rsid w:val="00042BC3"/>
    <w:rsid w:val="00047512"/>
    <w:rsid w:val="000477CB"/>
    <w:rsid w:val="0005032B"/>
    <w:rsid w:val="00050DE5"/>
    <w:rsid w:val="00051CED"/>
    <w:rsid w:val="0005517D"/>
    <w:rsid w:val="000603B2"/>
    <w:rsid w:val="00061206"/>
    <w:rsid w:val="000618E3"/>
    <w:rsid w:val="00062594"/>
    <w:rsid w:val="00063E2F"/>
    <w:rsid w:val="00065C2F"/>
    <w:rsid w:val="00065D8F"/>
    <w:rsid w:val="000704A1"/>
    <w:rsid w:val="000715AF"/>
    <w:rsid w:val="00072363"/>
    <w:rsid w:val="00074325"/>
    <w:rsid w:val="00077ACB"/>
    <w:rsid w:val="00081B3C"/>
    <w:rsid w:val="00082EC6"/>
    <w:rsid w:val="000831FC"/>
    <w:rsid w:val="00087F6E"/>
    <w:rsid w:val="00091281"/>
    <w:rsid w:val="000913D4"/>
    <w:rsid w:val="0009293E"/>
    <w:rsid w:val="00092E4F"/>
    <w:rsid w:val="000934A9"/>
    <w:rsid w:val="00096281"/>
    <w:rsid w:val="00097031"/>
    <w:rsid w:val="000A7E02"/>
    <w:rsid w:val="000B1295"/>
    <w:rsid w:val="000B217C"/>
    <w:rsid w:val="000B32A1"/>
    <w:rsid w:val="000C3418"/>
    <w:rsid w:val="000C475B"/>
    <w:rsid w:val="000C5459"/>
    <w:rsid w:val="000D4DD9"/>
    <w:rsid w:val="000D7A4F"/>
    <w:rsid w:val="000E17CE"/>
    <w:rsid w:val="000E4BC0"/>
    <w:rsid w:val="000E7F09"/>
    <w:rsid w:val="000F165F"/>
    <w:rsid w:val="000F280C"/>
    <w:rsid w:val="000F3D51"/>
    <w:rsid w:val="000F62ED"/>
    <w:rsid w:val="000F6FDD"/>
    <w:rsid w:val="001006A7"/>
    <w:rsid w:val="001006F1"/>
    <w:rsid w:val="00101272"/>
    <w:rsid w:val="001074E9"/>
    <w:rsid w:val="00110A73"/>
    <w:rsid w:val="00111421"/>
    <w:rsid w:val="00111DEC"/>
    <w:rsid w:val="001137F8"/>
    <w:rsid w:val="00113C6F"/>
    <w:rsid w:val="0011408F"/>
    <w:rsid w:val="0011506A"/>
    <w:rsid w:val="0012255F"/>
    <w:rsid w:val="0012707D"/>
    <w:rsid w:val="001337C2"/>
    <w:rsid w:val="00133BCC"/>
    <w:rsid w:val="00134869"/>
    <w:rsid w:val="00135675"/>
    <w:rsid w:val="00135CFA"/>
    <w:rsid w:val="00136053"/>
    <w:rsid w:val="00137D90"/>
    <w:rsid w:val="001403C9"/>
    <w:rsid w:val="00142663"/>
    <w:rsid w:val="00146118"/>
    <w:rsid w:val="001462C7"/>
    <w:rsid w:val="001532D5"/>
    <w:rsid w:val="00153FF5"/>
    <w:rsid w:val="00154FE9"/>
    <w:rsid w:val="00156D54"/>
    <w:rsid w:val="001646BA"/>
    <w:rsid w:val="0016709A"/>
    <w:rsid w:val="00170842"/>
    <w:rsid w:val="001733D6"/>
    <w:rsid w:val="00174012"/>
    <w:rsid w:val="001745A6"/>
    <w:rsid w:val="00175C13"/>
    <w:rsid w:val="00176F35"/>
    <w:rsid w:val="0018054A"/>
    <w:rsid w:val="001819FE"/>
    <w:rsid w:val="001822C9"/>
    <w:rsid w:val="001840AB"/>
    <w:rsid w:val="00184FF5"/>
    <w:rsid w:val="00185C72"/>
    <w:rsid w:val="00186D20"/>
    <w:rsid w:val="001914A8"/>
    <w:rsid w:val="00192FF8"/>
    <w:rsid w:val="00195873"/>
    <w:rsid w:val="001970DA"/>
    <w:rsid w:val="001A007B"/>
    <w:rsid w:val="001A12A2"/>
    <w:rsid w:val="001A5C70"/>
    <w:rsid w:val="001A68A4"/>
    <w:rsid w:val="001A6D51"/>
    <w:rsid w:val="001A7044"/>
    <w:rsid w:val="001B0E21"/>
    <w:rsid w:val="001B1646"/>
    <w:rsid w:val="001B1F0E"/>
    <w:rsid w:val="001B1F6E"/>
    <w:rsid w:val="001B236F"/>
    <w:rsid w:val="001B247E"/>
    <w:rsid w:val="001B42C2"/>
    <w:rsid w:val="001B5168"/>
    <w:rsid w:val="001B5213"/>
    <w:rsid w:val="001B6AF2"/>
    <w:rsid w:val="001B6BE7"/>
    <w:rsid w:val="001C380A"/>
    <w:rsid w:val="001D06BD"/>
    <w:rsid w:val="001D2FB9"/>
    <w:rsid w:val="001D31FB"/>
    <w:rsid w:val="001D3D65"/>
    <w:rsid w:val="001D52C4"/>
    <w:rsid w:val="001D58A1"/>
    <w:rsid w:val="001E56B6"/>
    <w:rsid w:val="001E666F"/>
    <w:rsid w:val="001F4D07"/>
    <w:rsid w:val="001F6F2E"/>
    <w:rsid w:val="00201990"/>
    <w:rsid w:val="002023DF"/>
    <w:rsid w:val="00203AB7"/>
    <w:rsid w:val="00203ED2"/>
    <w:rsid w:val="00205F48"/>
    <w:rsid w:val="00207ADA"/>
    <w:rsid w:val="002119FE"/>
    <w:rsid w:val="00214631"/>
    <w:rsid w:val="00214DF5"/>
    <w:rsid w:val="002160BF"/>
    <w:rsid w:val="00216F0E"/>
    <w:rsid w:val="00217723"/>
    <w:rsid w:val="00222BBE"/>
    <w:rsid w:val="002249BF"/>
    <w:rsid w:val="00226A92"/>
    <w:rsid w:val="002275A4"/>
    <w:rsid w:val="00227805"/>
    <w:rsid w:val="00233E75"/>
    <w:rsid w:val="00237223"/>
    <w:rsid w:val="00241B82"/>
    <w:rsid w:val="00243D94"/>
    <w:rsid w:val="002452E1"/>
    <w:rsid w:val="0024554F"/>
    <w:rsid w:val="00246B56"/>
    <w:rsid w:val="0025180B"/>
    <w:rsid w:val="002538EF"/>
    <w:rsid w:val="002624CA"/>
    <w:rsid w:val="0026657C"/>
    <w:rsid w:val="0026685B"/>
    <w:rsid w:val="00267665"/>
    <w:rsid w:val="00270546"/>
    <w:rsid w:val="00272CE1"/>
    <w:rsid w:val="00273509"/>
    <w:rsid w:val="00273D9E"/>
    <w:rsid w:val="0027779E"/>
    <w:rsid w:val="00281D52"/>
    <w:rsid w:val="00285F63"/>
    <w:rsid w:val="00286B02"/>
    <w:rsid w:val="0029100B"/>
    <w:rsid w:val="002913C1"/>
    <w:rsid w:val="002931A4"/>
    <w:rsid w:val="00294EEC"/>
    <w:rsid w:val="00295523"/>
    <w:rsid w:val="00297849"/>
    <w:rsid w:val="002A3FCC"/>
    <w:rsid w:val="002A6231"/>
    <w:rsid w:val="002A65A4"/>
    <w:rsid w:val="002A6825"/>
    <w:rsid w:val="002A6AA2"/>
    <w:rsid w:val="002A6BD3"/>
    <w:rsid w:val="002B50DA"/>
    <w:rsid w:val="002B5B39"/>
    <w:rsid w:val="002B62A2"/>
    <w:rsid w:val="002B6906"/>
    <w:rsid w:val="002C012B"/>
    <w:rsid w:val="002C0FA0"/>
    <w:rsid w:val="002C2595"/>
    <w:rsid w:val="002C3BE2"/>
    <w:rsid w:val="002C68EB"/>
    <w:rsid w:val="002D0B4D"/>
    <w:rsid w:val="002D1985"/>
    <w:rsid w:val="002D2C67"/>
    <w:rsid w:val="002D648F"/>
    <w:rsid w:val="002D781B"/>
    <w:rsid w:val="002D7981"/>
    <w:rsid w:val="002E1C6F"/>
    <w:rsid w:val="002E33F2"/>
    <w:rsid w:val="002E450D"/>
    <w:rsid w:val="002E708D"/>
    <w:rsid w:val="002E780C"/>
    <w:rsid w:val="002F12AB"/>
    <w:rsid w:val="002F1B60"/>
    <w:rsid w:val="002F353E"/>
    <w:rsid w:val="002F358B"/>
    <w:rsid w:val="002F4220"/>
    <w:rsid w:val="002F42C2"/>
    <w:rsid w:val="002F4485"/>
    <w:rsid w:val="002F4824"/>
    <w:rsid w:val="002F5B98"/>
    <w:rsid w:val="002F7B2C"/>
    <w:rsid w:val="0030250E"/>
    <w:rsid w:val="0030378B"/>
    <w:rsid w:val="00305D63"/>
    <w:rsid w:val="0031121C"/>
    <w:rsid w:val="00313198"/>
    <w:rsid w:val="00313D66"/>
    <w:rsid w:val="00315FC3"/>
    <w:rsid w:val="00321123"/>
    <w:rsid w:val="00321357"/>
    <w:rsid w:val="003238BA"/>
    <w:rsid w:val="00324092"/>
    <w:rsid w:val="00324A0E"/>
    <w:rsid w:val="00324BF2"/>
    <w:rsid w:val="00325515"/>
    <w:rsid w:val="003267A2"/>
    <w:rsid w:val="003302BA"/>
    <w:rsid w:val="00333E79"/>
    <w:rsid w:val="003345D1"/>
    <w:rsid w:val="0033477F"/>
    <w:rsid w:val="00334D12"/>
    <w:rsid w:val="00337659"/>
    <w:rsid w:val="00341C60"/>
    <w:rsid w:val="00343FDC"/>
    <w:rsid w:val="003447DF"/>
    <w:rsid w:val="00346A33"/>
    <w:rsid w:val="00352B47"/>
    <w:rsid w:val="0035480A"/>
    <w:rsid w:val="003619AC"/>
    <w:rsid w:val="00361F39"/>
    <w:rsid w:val="00365726"/>
    <w:rsid w:val="00365A3F"/>
    <w:rsid w:val="00373056"/>
    <w:rsid w:val="00373723"/>
    <w:rsid w:val="00374DDA"/>
    <w:rsid w:val="00377DE4"/>
    <w:rsid w:val="00377FF2"/>
    <w:rsid w:val="0038004D"/>
    <w:rsid w:val="00380B27"/>
    <w:rsid w:val="003816B0"/>
    <w:rsid w:val="00386D8A"/>
    <w:rsid w:val="00392755"/>
    <w:rsid w:val="00394115"/>
    <w:rsid w:val="00395A20"/>
    <w:rsid w:val="003A447A"/>
    <w:rsid w:val="003A5621"/>
    <w:rsid w:val="003B1C52"/>
    <w:rsid w:val="003B2014"/>
    <w:rsid w:val="003B5F4C"/>
    <w:rsid w:val="003B69B5"/>
    <w:rsid w:val="003C00AE"/>
    <w:rsid w:val="003C016A"/>
    <w:rsid w:val="003C15C7"/>
    <w:rsid w:val="003D13E3"/>
    <w:rsid w:val="003D2974"/>
    <w:rsid w:val="003E115A"/>
    <w:rsid w:val="003E19CF"/>
    <w:rsid w:val="003E2E20"/>
    <w:rsid w:val="003E7228"/>
    <w:rsid w:val="003E74D4"/>
    <w:rsid w:val="003E7595"/>
    <w:rsid w:val="003F1188"/>
    <w:rsid w:val="003F290D"/>
    <w:rsid w:val="003F39DE"/>
    <w:rsid w:val="003F531B"/>
    <w:rsid w:val="003F726D"/>
    <w:rsid w:val="00402055"/>
    <w:rsid w:val="0040235A"/>
    <w:rsid w:val="004031F0"/>
    <w:rsid w:val="00405CDF"/>
    <w:rsid w:val="004072E8"/>
    <w:rsid w:val="00411F7B"/>
    <w:rsid w:val="00413066"/>
    <w:rsid w:val="004147B1"/>
    <w:rsid w:val="0041591F"/>
    <w:rsid w:val="0041684D"/>
    <w:rsid w:val="00417265"/>
    <w:rsid w:val="00417753"/>
    <w:rsid w:val="00424C4D"/>
    <w:rsid w:val="0042538E"/>
    <w:rsid w:val="004268EB"/>
    <w:rsid w:val="00427425"/>
    <w:rsid w:val="004323CB"/>
    <w:rsid w:val="00435625"/>
    <w:rsid w:val="004358A5"/>
    <w:rsid w:val="004360A4"/>
    <w:rsid w:val="00437737"/>
    <w:rsid w:val="0044077D"/>
    <w:rsid w:val="004428CC"/>
    <w:rsid w:val="00442C54"/>
    <w:rsid w:val="0044424A"/>
    <w:rsid w:val="00445B35"/>
    <w:rsid w:val="00446F69"/>
    <w:rsid w:val="00450DF1"/>
    <w:rsid w:val="00450F03"/>
    <w:rsid w:val="00456CDE"/>
    <w:rsid w:val="004603DB"/>
    <w:rsid w:val="00460825"/>
    <w:rsid w:val="004612D6"/>
    <w:rsid w:val="00461AF3"/>
    <w:rsid w:val="00463114"/>
    <w:rsid w:val="004642A4"/>
    <w:rsid w:val="00464BE3"/>
    <w:rsid w:val="00464FC7"/>
    <w:rsid w:val="004663F0"/>
    <w:rsid w:val="00476A7C"/>
    <w:rsid w:val="00477D43"/>
    <w:rsid w:val="004826A5"/>
    <w:rsid w:val="004843DF"/>
    <w:rsid w:val="00486470"/>
    <w:rsid w:val="00487FAB"/>
    <w:rsid w:val="00491463"/>
    <w:rsid w:val="00492BC5"/>
    <w:rsid w:val="00494431"/>
    <w:rsid w:val="00497EEA"/>
    <w:rsid w:val="004A0BBE"/>
    <w:rsid w:val="004A17B6"/>
    <w:rsid w:val="004A2A60"/>
    <w:rsid w:val="004A31C5"/>
    <w:rsid w:val="004A5911"/>
    <w:rsid w:val="004A6DCC"/>
    <w:rsid w:val="004B07D2"/>
    <w:rsid w:val="004B1355"/>
    <w:rsid w:val="004B1CB5"/>
    <w:rsid w:val="004B22A2"/>
    <w:rsid w:val="004B45A5"/>
    <w:rsid w:val="004B547B"/>
    <w:rsid w:val="004C5364"/>
    <w:rsid w:val="004C686F"/>
    <w:rsid w:val="004D11A4"/>
    <w:rsid w:val="004D1D29"/>
    <w:rsid w:val="004D2F9E"/>
    <w:rsid w:val="004D35C7"/>
    <w:rsid w:val="004E0F41"/>
    <w:rsid w:val="004E16E6"/>
    <w:rsid w:val="004E1FA5"/>
    <w:rsid w:val="004E3661"/>
    <w:rsid w:val="004E39BC"/>
    <w:rsid w:val="004E4054"/>
    <w:rsid w:val="004E548A"/>
    <w:rsid w:val="004E625C"/>
    <w:rsid w:val="004E6994"/>
    <w:rsid w:val="004F0B0E"/>
    <w:rsid w:val="004F152F"/>
    <w:rsid w:val="004F2176"/>
    <w:rsid w:val="004F2631"/>
    <w:rsid w:val="004F46FD"/>
    <w:rsid w:val="004F5CBC"/>
    <w:rsid w:val="004F733D"/>
    <w:rsid w:val="00502193"/>
    <w:rsid w:val="005022E2"/>
    <w:rsid w:val="00503F7C"/>
    <w:rsid w:val="00504BBC"/>
    <w:rsid w:val="0050688A"/>
    <w:rsid w:val="00510570"/>
    <w:rsid w:val="005169AB"/>
    <w:rsid w:val="00517344"/>
    <w:rsid w:val="00517CBD"/>
    <w:rsid w:val="0052040A"/>
    <w:rsid w:val="00521218"/>
    <w:rsid w:val="005215E1"/>
    <w:rsid w:val="00530830"/>
    <w:rsid w:val="00531935"/>
    <w:rsid w:val="005325D9"/>
    <w:rsid w:val="00534881"/>
    <w:rsid w:val="005372C2"/>
    <w:rsid w:val="00540B7F"/>
    <w:rsid w:val="005420FB"/>
    <w:rsid w:val="005422E8"/>
    <w:rsid w:val="0054261E"/>
    <w:rsid w:val="00543C0F"/>
    <w:rsid w:val="00545621"/>
    <w:rsid w:val="005465ED"/>
    <w:rsid w:val="00550006"/>
    <w:rsid w:val="00551394"/>
    <w:rsid w:val="0055140F"/>
    <w:rsid w:val="0055509E"/>
    <w:rsid w:val="00556287"/>
    <w:rsid w:val="00556FF8"/>
    <w:rsid w:val="0056032F"/>
    <w:rsid w:val="00561322"/>
    <w:rsid w:val="0056347E"/>
    <w:rsid w:val="00565CC6"/>
    <w:rsid w:val="00565E48"/>
    <w:rsid w:val="00567015"/>
    <w:rsid w:val="005676BB"/>
    <w:rsid w:val="0057240F"/>
    <w:rsid w:val="0057387D"/>
    <w:rsid w:val="0057538B"/>
    <w:rsid w:val="00575EA7"/>
    <w:rsid w:val="0057794E"/>
    <w:rsid w:val="00580558"/>
    <w:rsid w:val="00580576"/>
    <w:rsid w:val="00586D92"/>
    <w:rsid w:val="00591F7D"/>
    <w:rsid w:val="005A1182"/>
    <w:rsid w:val="005A3CF7"/>
    <w:rsid w:val="005A3F9F"/>
    <w:rsid w:val="005A42F7"/>
    <w:rsid w:val="005A7BCF"/>
    <w:rsid w:val="005A7DAE"/>
    <w:rsid w:val="005B11AD"/>
    <w:rsid w:val="005B1884"/>
    <w:rsid w:val="005B2FF0"/>
    <w:rsid w:val="005B3EA6"/>
    <w:rsid w:val="005B5D4D"/>
    <w:rsid w:val="005B6D93"/>
    <w:rsid w:val="005B7A7B"/>
    <w:rsid w:val="005C19E4"/>
    <w:rsid w:val="005D17FA"/>
    <w:rsid w:val="005D18FE"/>
    <w:rsid w:val="005D5E7E"/>
    <w:rsid w:val="005E0C82"/>
    <w:rsid w:val="005E0D77"/>
    <w:rsid w:val="005E19C9"/>
    <w:rsid w:val="005E3056"/>
    <w:rsid w:val="005E6106"/>
    <w:rsid w:val="005E7668"/>
    <w:rsid w:val="005F0E18"/>
    <w:rsid w:val="005F0F1A"/>
    <w:rsid w:val="005F3F6E"/>
    <w:rsid w:val="005F4F2D"/>
    <w:rsid w:val="00601D4E"/>
    <w:rsid w:val="00607A49"/>
    <w:rsid w:val="0061337C"/>
    <w:rsid w:val="00616B32"/>
    <w:rsid w:val="006178E7"/>
    <w:rsid w:val="00617A0F"/>
    <w:rsid w:val="00617D0D"/>
    <w:rsid w:val="00621E0B"/>
    <w:rsid w:val="00631020"/>
    <w:rsid w:val="0063691A"/>
    <w:rsid w:val="006436C4"/>
    <w:rsid w:val="0064385F"/>
    <w:rsid w:val="006513E5"/>
    <w:rsid w:val="00651402"/>
    <w:rsid w:val="00651966"/>
    <w:rsid w:val="00654C46"/>
    <w:rsid w:val="00654F37"/>
    <w:rsid w:val="00657829"/>
    <w:rsid w:val="00660497"/>
    <w:rsid w:val="00660F1A"/>
    <w:rsid w:val="00662F6E"/>
    <w:rsid w:val="006653C7"/>
    <w:rsid w:val="006671FC"/>
    <w:rsid w:val="006709FA"/>
    <w:rsid w:val="006746C5"/>
    <w:rsid w:val="0067510F"/>
    <w:rsid w:val="00675FD9"/>
    <w:rsid w:val="006805CB"/>
    <w:rsid w:val="00691311"/>
    <w:rsid w:val="0069207C"/>
    <w:rsid w:val="00693D25"/>
    <w:rsid w:val="00693FF4"/>
    <w:rsid w:val="00695D1F"/>
    <w:rsid w:val="006964A9"/>
    <w:rsid w:val="006976CF"/>
    <w:rsid w:val="00697F66"/>
    <w:rsid w:val="006A08A6"/>
    <w:rsid w:val="006A1938"/>
    <w:rsid w:val="006A52DE"/>
    <w:rsid w:val="006A7405"/>
    <w:rsid w:val="006B0F94"/>
    <w:rsid w:val="006B1FA1"/>
    <w:rsid w:val="006B53C8"/>
    <w:rsid w:val="006C0870"/>
    <w:rsid w:val="006C2D7B"/>
    <w:rsid w:val="006C370C"/>
    <w:rsid w:val="006C575B"/>
    <w:rsid w:val="006C5E29"/>
    <w:rsid w:val="006D02E2"/>
    <w:rsid w:val="006D122D"/>
    <w:rsid w:val="006D2C38"/>
    <w:rsid w:val="006D404C"/>
    <w:rsid w:val="006E1D04"/>
    <w:rsid w:val="006E75F9"/>
    <w:rsid w:val="006E7AF8"/>
    <w:rsid w:val="006E7CE0"/>
    <w:rsid w:val="006F1F96"/>
    <w:rsid w:val="006F3DAF"/>
    <w:rsid w:val="006F4831"/>
    <w:rsid w:val="006F4E7D"/>
    <w:rsid w:val="006F5C9E"/>
    <w:rsid w:val="006F631A"/>
    <w:rsid w:val="006F6E2C"/>
    <w:rsid w:val="0070050E"/>
    <w:rsid w:val="007006F4"/>
    <w:rsid w:val="007012D1"/>
    <w:rsid w:val="007037C4"/>
    <w:rsid w:val="00703B41"/>
    <w:rsid w:val="00704D55"/>
    <w:rsid w:val="007059BC"/>
    <w:rsid w:val="007065DA"/>
    <w:rsid w:val="00707E1A"/>
    <w:rsid w:val="0071292F"/>
    <w:rsid w:val="00716653"/>
    <w:rsid w:val="0071788D"/>
    <w:rsid w:val="00717937"/>
    <w:rsid w:val="00721221"/>
    <w:rsid w:val="00722AE9"/>
    <w:rsid w:val="007248D4"/>
    <w:rsid w:val="007256B5"/>
    <w:rsid w:val="00732A72"/>
    <w:rsid w:val="00732EA2"/>
    <w:rsid w:val="007342D9"/>
    <w:rsid w:val="0073449D"/>
    <w:rsid w:val="007346E0"/>
    <w:rsid w:val="00734ED9"/>
    <w:rsid w:val="007351DA"/>
    <w:rsid w:val="007367A8"/>
    <w:rsid w:val="0074153D"/>
    <w:rsid w:val="00743CFF"/>
    <w:rsid w:val="00744ACC"/>
    <w:rsid w:val="00750F3E"/>
    <w:rsid w:val="007512D9"/>
    <w:rsid w:val="00751619"/>
    <w:rsid w:val="00751AF2"/>
    <w:rsid w:val="00754F13"/>
    <w:rsid w:val="007567DE"/>
    <w:rsid w:val="00760CB6"/>
    <w:rsid w:val="00761EE1"/>
    <w:rsid w:val="00765A8F"/>
    <w:rsid w:val="00771681"/>
    <w:rsid w:val="00776F71"/>
    <w:rsid w:val="0077729C"/>
    <w:rsid w:val="00777810"/>
    <w:rsid w:val="00780169"/>
    <w:rsid w:val="00783600"/>
    <w:rsid w:val="00783DBD"/>
    <w:rsid w:val="00784786"/>
    <w:rsid w:val="007848F4"/>
    <w:rsid w:val="0078574F"/>
    <w:rsid w:val="00787D37"/>
    <w:rsid w:val="00791E39"/>
    <w:rsid w:val="007938CC"/>
    <w:rsid w:val="00795293"/>
    <w:rsid w:val="00795C00"/>
    <w:rsid w:val="00797F3B"/>
    <w:rsid w:val="007A1AC5"/>
    <w:rsid w:val="007A2796"/>
    <w:rsid w:val="007A2CF3"/>
    <w:rsid w:val="007A2E64"/>
    <w:rsid w:val="007A373F"/>
    <w:rsid w:val="007A655C"/>
    <w:rsid w:val="007B10D2"/>
    <w:rsid w:val="007B207F"/>
    <w:rsid w:val="007B3D96"/>
    <w:rsid w:val="007C3EBE"/>
    <w:rsid w:val="007C4C27"/>
    <w:rsid w:val="007D0511"/>
    <w:rsid w:val="007D3129"/>
    <w:rsid w:val="007D3FDA"/>
    <w:rsid w:val="007D7A7E"/>
    <w:rsid w:val="007E079B"/>
    <w:rsid w:val="007E10FF"/>
    <w:rsid w:val="007E1718"/>
    <w:rsid w:val="007E23C6"/>
    <w:rsid w:val="007E526A"/>
    <w:rsid w:val="007E52FF"/>
    <w:rsid w:val="007E6EEE"/>
    <w:rsid w:val="007F4B7A"/>
    <w:rsid w:val="007F6EC5"/>
    <w:rsid w:val="00800CC4"/>
    <w:rsid w:val="00801D0A"/>
    <w:rsid w:val="0080386F"/>
    <w:rsid w:val="008048E4"/>
    <w:rsid w:val="00811FFD"/>
    <w:rsid w:val="00813441"/>
    <w:rsid w:val="0081602C"/>
    <w:rsid w:val="0082065A"/>
    <w:rsid w:val="00823015"/>
    <w:rsid w:val="00824BF9"/>
    <w:rsid w:val="008256C7"/>
    <w:rsid w:val="00830953"/>
    <w:rsid w:val="00831116"/>
    <w:rsid w:val="008318B1"/>
    <w:rsid w:val="00831BDA"/>
    <w:rsid w:val="00832229"/>
    <w:rsid w:val="008468F3"/>
    <w:rsid w:val="00847109"/>
    <w:rsid w:val="00847B7E"/>
    <w:rsid w:val="00852EC9"/>
    <w:rsid w:val="00853B50"/>
    <w:rsid w:val="008604E6"/>
    <w:rsid w:val="00860965"/>
    <w:rsid w:val="00864AC3"/>
    <w:rsid w:val="0086559F"/>
    <w:rsid w:val="0086711A"/>
    <w:rsid w:val="00876CB5"/>
    <w:rsid w:val="00880C04"/>
    <w:rsid w:val="00881782"/>
    <w:rsid w:val="008848CC"/>
    <w:rsid w:val="00886CD3"/>
    <w:rsid w:val="00886F8A"/>
    <w:rsid w:val="00887B08"/>
    <w:rsid w:val="00890A12"/>
    <w:rsid w:val="008914D9"/>
    <w:rsid w:val="00891616"/>
    <w:rsid w:val="00892455"/>
    <w:rsid w:val="00892E93"/>
    <w:rsid w:val="0089303D"/>
    <w:rsid w:val="00895144"/>
    <w:rsid w:val="00895958"/>
    <w:rsid w:val="00895B67"/>
    <w:rsid w:val="00896246"/>
    <w:rsid w:val="008A0EAB"/>
    <w:rsid w:val="008A3B85"/>
    <w:rsid w:val="008B1124"/>
    <w:rsid w:val="008B1577"/>
    <w:rsid w:val="008B15E7"/>
    <w:rsid w:val="008B1880"/>
    <w:rsid w:val="008B19E9"/>
    <w:rsid w:val="008B30A2"/>
    <w:rsid w:val="008B4A08"/>
    <w:rsid w:val="008B5311"/>
    <w:rsid w:val="008B6E16"/>
    <w:rsid w:val="008B70D6"/>
    <w:rsid w:val="008B7262"/>
    <w:rsid w:val="008B7EF5"/>
    <w:rsid w:val="008C0628"/>
    <w:rsid w:val="008C246B"/>
    <w:rsid w:val="008C3ABB"/>
    <w:rsid w:val="008D407B"/>
    <w:rsid w:val="008D4D4E"/>
    <w:rsid w:val="008D5378"/>
    <w:rsid w:val="008E08A3"/>
    <w:rsid w:val="008E0F4B"/>
    <w:rsid w:val="008E1EA2"/>
    <w:rsid w:val="008E3A7D"/>
    <w:rsid w:val="008E5760"/>
    <w:rsid w:val="008E5FDE"/>
    <w:rsid w:val="008E7BB0"/>
    <w:rsid w:val="008E7DDD"/>
    <w:rsid w:val="008F05CE"/>
    <w:rsid w:val="008F110C"/>
    <w:rsid w:val="008F26C9"/>
    <w:rsid w:val="008F394A"/>
    <w:rsid w:val="009013EB"/>
    <w:rsid w:val="009039DB"/>
    <w:rsid w:val="00903DB3"/>
    <w:rsid w:val="00903DF6"/>
    <w:rsid w:val="00906600"/>
    <w:rsid w:val="009069AB"/>
    <w:rsid w:val="00906BAA"/>
    <w:rsid w:val="00911D1E"/>
    <w:rsid w:val="00912C8C"/>
    <w:rsid w:val="0091467F"/>
    <w:rsid w:val="00917169"/>
    <w:rsid w:val="0091771A"/>
    <w:rsid w:val="009224F2"/>
    <w:rsid w:val="00922A08"/>
    <w:rsid w:val="00924371"/>
    <w:rsid w:val="00924611"/>
    <w:rsid w:val="009247F4"/>
    <w:rsid w:val="009303BE"/>
    <w:rsid w:val="00930CF8"/>
    <w:rsid w:val="00931BB8"/>
    <w:rsid w:val="0093200D"/>
    <w:rsid w:val="00933302"/>
    <w:rsid w:val="00934499"/>
    <w:rsid w:val="00934688"/>
    <w:rsid w:val="0093746A"/>
    <w:rsid w:val="009406E4"/>
    <w:rsid w:val="00942EE0"/>
    <w:rsid w:val="00947B78"/>
    <w:rsid w:val="00953E4A"/>
    <w:rsid w:val="00954964"/>
    <w:rsid w:val="00957FE6"/>
    <w:rsid w:val="00962C7A"/>
    <w:rsid w:val="00964BA2"/>
    <w:rsid w:val="00965AA9"/>
    <w:rsid w:val="00965C7A"/>
    <w:rsid w:val="0096650C"/>
    <w:rsid w:val="0096684D"/>
    <w:rsid w:val="0096685B"/>
    <w:rsid w:val="00966B92"/>
    <w:rsid w:val="00971C86"/>
    <w:rsid w:val="00975128"/>
    <w:rsid w:val="00977B2A"/>
    <w:rsid w:val="009834D7"/>
    <w:rsid w:val="00984595"/>
    <w:rsid w:val="00984A40"/>
    <w:rsid w:val="00984D6C"/>
    <w:rsid w:val="00984F47"/>
    <w:rsid w:val="009852E8"/>
    <w:rsid w:val="00986B99"/>
    <w:rsid w:val="00987D05"/>
    <w:rsid w:val="00987E16"/>
    <w:rsid w:val="00990C61"/>
    <w:rsid w:val="00990DF2"/>
    <w:rsid w:val="009945AE"/>
    <w:rsid w:val="00997DF6"/>
    <w:rsid w:val="009A242C"/>
    <w:rsid w:val="009A4087"/>
    <w:rsid w:val="009A5CF1"/>
    <w:rsid w:val="009B51D2"/>
    <w:rsid w:val="009C19E2"/>
    <w:rsid w:val="009C313A"/>
    <w:rsid w:val="009C3EB3"/>
    <w:rsid w:val="009C4AB8"/>
    <w:rsid w:val="009C517F"/>
    <w:rsid w:val="009D1491"/>
    <w:rsid w:val="009D1693"/>
    <w:rsid w:val="009D2F41"/>
    <w:rsid w:val="009D40A1"/>
    <w:rsid w:val="009D4672"/>
    <w:rsid w:val="009D7380"/>
    <w:rsid w:val="009E3745"/>
    <w:rsid w:val="009E55D9"/>
    <w:rsid w:val="009E56E8"/>
    <w:rsid w:val="009E6599"/>
    <w:rsid w:val="009E6F8C"/>
    <w:rsid w:val="009F1273"/>
    <w:rsid w:val="009F4614"/>
    <w:rsid w:val="009F5DD0"/>
    <w:rsid w:val="009F7A93"/>
    <w:rsid w:val="009F7D44"/>
    <w:rsid w:val="009F7E5D"/>
    <w:rsid w:val="00A01D12"/>
    <w:rsid w:val="00A03791"/>
    <w:rsid w:val="00A06AA5"/>
    <w:rsid w:val="00A109A5"/>
    <w:rsid w:val="00A146DE"/>
    <w:rsid w:val="00A21520"/>
    <w:rsid w:val="00A22437"/>
    <w:rsid w:val="00A22B10"/>
    <w:rsid w:val="00A23C12"/>
    <w:rsid w:val="00A25DBA"/>
    <w:rsid w:val="00A25E28"/>
    <w:rsid w:val="00A26427"/>
    <w:rsid w:val="00A27577"/>
    <w:rsid w:val="00A31C27"/>
    <w:rsid w:val="00A32684"/>
    <w:rsid w:val="00A334E8"/>
    <w:rsid w:val="00A341E0"/>
    <w:rsid w:val="00A4331B"/>
    <w:rsid w:val="00A46EA3"/>
    <w:rsid w:val="00A47675"/>
    <w:rsid w:val="00A50601"/>
    <w:rsid w:val="00A50A27"/>
    <w:rsid w:val="00A51991"/>
    <w:rsid w:val="00A5226E"/>
    <w:rsid w:val="00A54C4F"/>
    <w:rsid w:val="00A5651D"/>
    <w:rsid w:val="00A56D44"/>
    <w:rsid w:val="00A56FDF"/>
    <w:rsid w:val="00A64D58"/>
    <w:rsid w:val="00A64DE0"/>
    <w:rsid w:val="00A6599A"/>
    <w:rsid w:val="00A72A5C"/>
    <w:rsid w:val="00A72CC1"/>
    <w:rsid w:val="00A74ED3"/>
    <w:rsid w:val="00A76A16"/>
    <w:rsid w:val="00A777C7"/>
    <w:rsid w:val="00A81E42"/>
    <w:rsid w:val="00A83DE1"/>
    <w:rsid w:val="00A84AC4"/>
    <w:rsid w:val="00A860F5"/>
    <w:rsid w:val="00A920EA"/>
    <w:rsid w:val="00A94C59"/>
    <w:rsid w:val="00A9638F"/>
    <w:rsid w:val="00A96805"/>
    <w:rsid w:val="00AA1C32"/>
    <w:rsid w:val="00AA477A"/>
    <w:rsid w:val="00AA7DFF"/>
    <w:rsid w:val="00AB06AB"/>
    <w:rsid w:val="00AB134F"/>
    <w:rsid w:val="00AB3D95"/>
    <w:rsid w:val="00AB4D07"/>
    <w:rsid w:val="00AB4EA4"/>
    <w:rsid w:val="00AB5E29"/>
    <w:rsid w:val="00AC220F"/>
    <w:rsid w:val="00AC26E8"/>
    <w:rsid w:val="00AC2CDB"/>
    <w:rsid w:val="00AC4033"/>
    <w:rsid w:val="00AC6325"/>
    <w:rsid w:val="00AC7C81"/>
    <w:rsid w:val="00AD0227"/>
    <w:rsid w:val="00AD3256"/>
    <w:rsid w:val="00AE11C1"/>
    <w:rsid w:val="00AE1231"/>
    <w:rsid w:val="00AE13F6"/>
    <w:rsid w:val="00AE259F"/>
    <w:rsid w:val="00AE3FC1"/>
    <w:rsid w:val="00AE4A82"/>
    <w:rsid w:val="00AE58D8"/>
    <w:rsid w:val="00AE62CF"/>
    <w:rsid w:val="00AE6F50"/>
    <w:rsid w:val="00AF552D"/>
    <w:rsid w:val="00B03714"/>
    <w:rsid w:val="00B04A9C"/>
    <w:rsid w:val="00B04AAB"/>
    <w:rsid w:val="00B05244"/>
    <w:rsid w:val="00B06373"/>
    <w:rsid w:val="00B06D7E"/>
    <w:rsid w:val="00B10309"/>
    <w:rsid w:val="00B11113"/>
    <w:rsid w:val="00B12670"/>
    <w:rsid w:val="00B126FF"/>
    <w:rsid w:val="00B12B41"/>
    <w:rsid w:val="00B15572"/>
    <w:rsid w:val="00B16F6D"/>
    <w:rsid w:val="00B20E46"/>
    <w:rsid w:val="00B224EE"/>
    <w:rsid w:val="00B2256B"/>
    <w:rsid w:val="00B2350F"/>
    <w:rsid w:val="00B2422E"/>
    <w:rsid w:val="00B25946"/>
    <w:rsid w:val="00B262A7"/>
    <w:rsid w:val="00B312B0"/>
    <w:rsid w:val="00B31C87"/>
    <w:rsid w:val="00B3262C"/>
    <w:rsid w:val="00B33712"/>
    <w:rsid w:val="00B34476"/>
    <w:rsid w:val="00B37089"/>
    <w:rsid w:val="00B37FF0"/>
    <w:rsid w:val="00B40E9B"/>
    <w:rsid w:val="00B45F80"/>
    <w:rsid w:val="00B51113"/>
    <w:rsid w:val="00B53218"/>
    <w:rsid w:val="00B54A16"/>
    <w:rsid w:val="00B55160"/>
    <w:rsid w:val="00B57D1F"/>
    <w:rsid w:val="00B617FA"/>
    <w:rsid w:val="00B624D0"/>
    <w:rsid w:val="00B652E0"/>
    <w:rsid w:val="00B6551D"/>
    <w:rsid w:val="00B65891"/>
    <w:rsid w:val="00B65E53"/>
    <w:rsid w:val="00B6754E"/>
    <w:rsid w:val="00B71308"/>
    <w:rsid w:val="00B7346B"/>
    <w:rsid w:val="00B74FDB"/>
    <w:rsid w:val="00B75526"/>
    <w:rsid w:val="00B76FFE"/>
    <w:rsid w:val="00B77D1B"/>
    <w:rsid w:val="00B80ABE"/>
    <w:rsid w:val="00B821C9"/>
    <w:rsid w:val="00B85999"/>
    <w:rsid w:val="00B85F04"/>
    <w:rsid w:val="00B868A0"/>
    <w:rsid w:val="00B87AB4"/>
    <w:rsid w:val="00B91F51"/>
    <w:rsid w:val="00B924B5"/>
    <w:rsid w:val="00B93479"/>
    <w:rsid w:val="00BA0BCD"/>
    <w:rsid w:val="00BA1FA9"/>
    <w:rsid w:val="00BA6EF5"/>
    <w:rsid w:val="00BB0ACD"/>
    <w:rsid w:val="00BB10FA"/>
    <w:rsid w:val="00BB15E8"/>
    <w:rsid w:val="00BB1BC9"/>
    <w:rsid w:val="00BB1E3C"/>
    <w:rsid w:val="00BC45AB"/>
    <w:rsid w:val="00BC49B2"/>
    <w:rsid w:val="00BC5258"/>
    <w:rsid w:val="00BC5380"/>
    <w:rsid w:val="00BC608A"/>
    <w:rsid w:val="00BC7446"/>
    <w:rsid w:val="00BC77E7"/>
    <w:rsid w:val="00BC7AAA"/>
    <w:rsid w:val="00BD3AC7"/>
    <w:rsid w:val="00BD439C"/>
    <w:rsid w:val="00BE3178"/>
    <w:rsid w:val="00BE507D"/>
    <w:rsid w:val="00BE7EC9"/>
    <w:rsid w:val="00BF1CA2"/>
    <w:rsid w:val="00BF1D22"/>
    <w:rsid w:val="00BF1DE1"/>
    <w:rsid w:val="00BF2030"/>
    <w:rsid w:val="00BF3122"/>
    <w:rsid w:val="00BF3B27"/>
    <w:rsid w:val="00BF5B70"/>
    <w:rsid w:val="00BF6455"/>
    <w:rsid w:val="00BF7D0D"/>
    <w:rsid w:val="00C013FD"/>
    <w:rsid w:val="00C032EB"/>
    <w:rsid w:val="00C0568B"/>
    <w:rsid w:val="00C07695"/>
    <w:rsid w:val="00C15A41"/>
    <w:rsid w:val="00C1635D"/>
    <w:rsid w:val="00C16CF4"/>
    <w:rsid w:val="00C245D9"/>
    <w:rsid w:val="00C25062"/>
    <w:rsid w:val="00C25B65"/>
    <w:rsid w:val="00C265A1"/>
    <w:rsid w:val="00C3039A"/>
    <w:rsid w:val="00C33430"/>
    <w:rsid w:val="00C344C3"/>
    <w:rsid w:val="00C349FE"/>
    <w:rsid w:val="00C41688"/>
    <w:rsid w:val="00C41EFB"/>
    <w:rsid w:val="00C51253"/>
    <w:rsid w:val="00C52045"/>
    <w:rsid w:val="00C52681"/>
    <w:rsid w:val="00C56897"/>
    <w:rsid w:val="00C57B16"/>
    <w:rsid w:val="00C62F47"/>
    <w:rsid w:val="00C630B4"/>
    <w:rsid w:val="00C64DC1"/>
    <w:rsid w:val="00C65ACB"/>
    <w:rsid w:val="00C66F70"/>
    <w:rsid w:val="00C7273A"/>
    <w:rsid w:val="00C74677"/>
    <w:rsid w:val="00C76D64"/>
    <w:rsid w:val="00C93DE5"/>
    <w:rsid w:val="00C940B1"/>
    <w:rsid w:val="00C9480F"/>
    <w:rsid w:val="00CA526D"/>
    <w:rsid w:val="00CA70F8"/>
    <w:rsid w:val="00CB13EB"/>
    <w:rsid w:val="00CB2994"/>
    <w:rsid w:val="00CB3080"/>
    <w:rsid w:val="00CC3417"/>
    <w:rsid w:val="00CC3CC8"/>
    <w:rsid w:val="00CC4174"/>
    <w:rsid w:val="00CC4199"/>
    <w:rsid w:val="00CC4C8B"/>
    <w:rsid w:val="00CC5049"/>
    <w:rsid w:val="00CC78F8"/>
    <w:rsid w:val="00CD20D7"/>
    <w:rsid w:val="00CD2FA4"/>
    <w:rsid w:val="00CD3B3F"/>
    <w:rsid w:val="00CE1EFB"/>
    <w:rsid w:val="00CE41ED"/>
    <w:rsid w:val="00CE5040"/>
    <w:rsid w:val="00CE5484"/>
    <w:rsid w:val="00CE76D6"/>
    <w:rsid w:val="00CF06E2"/>
    <w:rsid w:val="00CF5576"/>
    <w:rsid w:val="00CF77E7"/>
    <w:rsid w:val="00D039C8"/>
    <w:rsid w:val="00D0667A"/>
    <w:rsid w:val="00D074DE"/>
    <w:rsid w:val="00D077AF"/>
    <w:rsid w:val="00D07AEB"/>
    <w:rsid w:val="00D10839"/>
    <w:rsid w:val="00D122EF"/>
    <w:rsid w:val="00D14E82"/>
    <w:rsid w:val="00D21AF9"/>
    <w:rsid w:val="00D21D7E"/>
    <w:rsid w:val="00D2387F"/>
    <w:rsid w:val="00D25AC3"/>
    <w:rsid w:val="00D272CC"/>
    <w:rsid w:val="00D340EE"/>
    <w:rsid w:val="00D37B5A"/>
    <w:rsid w:val="00D40992"/>
    <w:rsid w:val="00D40E67"/>
    <w:rsid w:val="00D4217E"/>
    <w:rsid w:val="00D42A9B"/>
    <w:rsid w:val="00D44201"/>
    <w:rsid w:val="00D44D70"/>
    <w:rsid w:val="00D46C41"/>
    <w:rsid w:val="00D51742"/>
    <w:rsid w:val="00D51829"/>
    <w:rsid w:val="00D52832"/>
    <w:rsid w:val="00D55705"/>
    <w:rsid w:val="00D55C05"/>
    <w:rsid w:val="00D55E67"/>
    <w:rsid w:val="00D56C84"/>
    <w:rsid w:val="00D63FD8"/>
    <w:rsid w:val="00D640E0"/>
    <w:rsid w:val="00D64124"/>
    <w:rsid w:val="00D67354"/>
    <w:rsid w:val="00D7185F"/>
    <w:rsid w:val="00D72896"/>
    <w:rsid w:val="00D74E5A"/>
    <w:rsid w:val="00D751A6"/>
    <w:rsid w:val="00D76E32"/>
    <w:rsid w:val="00D81163"/>
    <w:rsid w:val="00D85A2E"/>
    <w:rsid w:val="00D90006"/>
    <w:rsid w:val="00D9024D"/>
    <w:rsid w:val="00D90BB8"/>
    <w:rsid w:val="00D91558"/>
    <w:rsid w:val="00D93092"/>
    <w:rsid w:val="00D94EEC"/>
    <w:rsid w:val="00D9656B"/>
    <w:rsid w:val="00D97382"/>
    <w:rsid w:val="00DA1238"/>
    <w:rsid w:val="00DA14FF"/>
    <w:rsid w:val="00DA1669"/>
    <w:rsid w:val="00DA19B4"/>
    <w:rsid w:val="00DA5476"/>
    <w:rsid w:val="00DA59D2"/>
    <w:rsid w:val="00DA5D0A"/>
    <w:rsid w:val="00DB256F"/>
    <w:rsid w:val="00DB62B1"/>
    <w:rsid w:val="00DB77B0"/>
    <w:rsid w:val="00DC0825"/>
    <w:rsid w:val="00DC1FEF"/>
    <w:rsid w:val="00DC270E"/>
    <w:rsid w:val="00DD0579"/>
    <w:rsid w:val="00DD1CD4"/>
    <w:rsid w:val="00DD1EF1"/>
    <w:rsid w:val="00DD3B56"/>
    <w:rsid w:val="00DD5BD6"/>
    <w:rsid w:val="00DD60C9"/>
    <w:rsid w:val="00DD6528"/>
    <w:rsid w:val="00DD7C57"/>
    <w:rsid w:val="00DE03CC"/>
    <w:rsid w:val="00DE22E3"/>
    <w:rsid w:val="00DE4EF2"/>
    <w:rsid w:val="00DE7762"/>
    <w:rsid w:val="00DF1671"/>
    <w:rsid w:val="00DF18A0"/>
    <w:rsid w:val="00DF18E9"/>
    <w:rsid w:val="00DF2DB1"/>
    <w:rsid w:val="00DF3712"/>
    <w:rsid w:val="00DF4221"/>
    <w:rsid w:val="00DF4B6E"/>
    <w:rsid w:val="00E00369"/>
    <w:rsid w:val="00E00F17"/>
    <w:rsid w:val="00E02A61"/>
    <w:rsid w:val="00E02D6F"/>
    <w:rsid w:val="00E0304C"/>
    <w:rsid w:val="00E10708"/>
    <w:rsid w:val="00E10DDE"/>
    <w:rsid w:val="00E11F96"/>
    <w:rsid w:val="00E12090"/>
    <w:rsid w:val="00E12354"/>
    <w:rsid w:val="00E12FB6"/>
    <w:rsid w:val="00E15E7C"/>
    <w:rsid w:val="00E178DD"/>
    <w:rsid w:val="00E22E3C"/>
    <w:rsid w:val="00E23085"/>
    <w:rsid w:val="00E26848"/>
    <w:rsid w:val="00E26895"/>
    <w:rsid w:val="00E35740"/>
    <w:rsid w:val="00E35BBB"/>
    <w:rsid w:val="00E41387"/>
    <w:rsid w:val="00E42549"/>
    <w:rsid w:val="00E50B5C"/>
    <w:rsid w:val="00E5183E"/>
    <w:rsid w:val="00E5573B"/>
    <w:rsid w:val="00E64F75"/>
    <w:rsid w:val="00E702B2"/>
    <w:rsid w:val="00E72733"/>
    <w:rsid w:val="00E75C3E"/>
    <w:rsid w:val="00E80B20"/>
    <w:rsid w:val="00E8177F"/>
    <w:rsid w:val="00E82466"/>
    <w:rsid w:val="00E831B8"/>
    <w:rsid w:val="00E84129"/>
    <w:rsid w:val="00E84854"/>
    <w:rsid w:val="00E858C2"/>
    <w:rsid w:val="00E86689"/>
    <w:rsid w:val="00E872DA"/>
    <w:rsid w:val="00E90780"/>
    <w:rsid w:val="00E92C53"/>
    <w:rsid w:val="00E962FB"/>
    <w:rsid w:val="00E96912"/>
    <w:rsid w:val="00E97828"/>
    <w:rsid w:val="00EA100D"/>
    <w:rsid w:val="00EA3558"/>
    <w:rsid w:val="00EA5E13"/>
    <w:rsid w:val="00EA6C66"/>
    <w:rsid w:val="00EB0977"/>
    <w:rsid w:val="00EB2031"/>
    <w:rsid w:val="00EB2443"/>
    <w:rsid w:val="00EB369D"/>
    <w:rsid w:val="00EC00F6"/>
    <w:rsid w:val="00EC10E8"/>
    <w:rsid w:val="00EC274A"/>
    <w:rsid w:val="00EC2914"/>
    <w:rsid w:val="00EC3581"/>
    <w:rsid w:val="00EC731D"/>
    <w:rsid w:val="00EC74AF"/>
    <w:rsid w:val="00EC78F7"/>
    <w:rsid w:val="00ED0B31"/>
    <w:rsid w:val="00ED329F"/>
    <w:rsid w:val="00EE551C"/>
    <w:rsid w:val="00EE72C2"/>
    <w:rsid w:val="00EE785A"/>
    <w:rsid w:val="00EF11D1"/>
    <w:rsid w:val="00F009B5"/>
    <w:rsid w:val="00F00B0D"/>
    <w:rsid w:val="00F00F7D"/>
    <w:rsid w:val="00F018CB"/>
    <w:rsid w:val="00F0373B"/>
    <w:rsid w:val="00F100E6"/>
    <w:rsid w:val="00F10B23"/>
    <w:rsid w:val="00F15156"/>
    <w:rsid w:val="00F154DD"/>
    <w:rsid w:val="00F1616F"/>
    <w:rsid w:val="00F171F6"/>
    <w:rsid w:val="00F210EF"/>
    <w:rsid w:val="00F22B13"/>
    <w:rsid w:val="00F232C0"/>
    <w:rsid w:val="00F241AE"/>
    <w:rsid w:val="00F34B65"/>
    <w:rsid w:val="00F37BD5"/>
    <w:rsid w:val="00F37C97"/>
    <w:rsid w:val="00F37EF6"/>
    <w:rsid w:val="00F41AC7"/>
    <w:rsid w:val="00F4428F"/>
    <w:rsid w:val="00F47B83"/>
    <w:rsid w:val="00F50458"/>
    <w:rsid w:val="00F50796"/>
    <w:rsid w:val="00F50D9C"/>
    <w:rsid w:val="00F52E27"/>
    <w:rsid w:val="00F54716"/>
    <w:rsid w:val="00F54771"/>
    <w:rsid w:val="00F57454"/>
    <w:rsid w:val="00F601C6"/>
    <w:rsid w:val="00F60205"/>
    <w:rsid w:val="00F616A9"/>
    <w:rsid w:val="00F63CB5"/>
    <w:rsid w:val="00F644A1"/>
    <w:rsid w:val="00F64698"/>
    <w:rsid w:val="00F673B0"/>
    <w:rsid w:val="00F71755"/>
    <w:rsid w:val="00F72FF7"/>
    <w:rsid w:val="00F75166"/>
    <w:rsid w:val="00F75A1F"/>
    <w:rsid w:val="00F81628"/>
    <w:rsid w:val="00F81DA1"/>
    <w:rsid w:val="00F92998"/>
    <w:rsid w:val="00F93A26"/>
    <w:rsid w:val="00F94101"/>
    <w:rsid w:val="00F94F90"/>
    <w:rsid w:val="00FA092B"/>
    <w:rsid w:val="00FA2B0D"/>
    <w:rsid w:val="00FA3208"/>
    <w:rsid w:val="00FA44B3"/>
    <w:rsid w:val="00FB0E12"/>
    <w:rsid w:val="00FB16F6"/>
    <w:rsid w:val="00FB1CE1"/>
    <w:rsid w:val="00FB2CEE"/>
    <w:rsid w:val="00FB2D6A"/>
    <w:rsid w:val="00FB5A0A"/>
    <w:rsid w:val="00FC0CAB"/>
    <w:rsid w:val="00FC173E"/>
    <w:rsid w:val="00FC1D21"/>
    <w:rsid w:val="00FC3A27"/>
    <w:rsid w:val="00FC3C00"/>
    <w:rsid w:val="00FD23A8"/>
    <w:rsid w:val="00FD2FC2"/>
    <w:rsid w:val="00FD413E"/>
    <w:rsid w:val="00FD50A6"/>
    <w:rsid w:val="00FE2244"/>
    <w:rsid w:val="00FF070B"/>
    <w:rsid w:val="00FF1EC1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9E"/>
    <w:pPr>
      <w:ind w:leftChars="200" w:left="480"/>
    </w:pPr>
  </w:style>
  <w:style w:type="table" w:styleId="-3">
    <w:name w:val="Light Shading Accent 3"/>
    <w:basedOn w:val="a1"/>
    <w:uiPriority w:val="60"/>
    <w:rsid w:val="004D2F9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4D2F9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4D2F9E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4D2F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2F9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D2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2F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37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72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2122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2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21221"/>
    <w:rPr>
      <w:sz w:val="20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3B69B5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3B69B5"/>
  </w:style>
  <w:style w:type="character" w:styleId="af">
    <w:name w:val="annotation reference"/>
    <w:basedOn w:val="a0"/>
    <w:uiPriority w:val="99"/>
    <w:semiHidden/>
    <w:unhideWhenUsed/>
    <w:rsid w:val="00FF1EC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1EC1"/>
  </w:style>
  <w:style w:type="character" w:customStyle="1" w:styleId="af1">
    <w:name w:val="註解文字 字元"/>
    <w:basedOn w:val="a0"/>
    <w:link w:val="af0"/>
    <w:uiPriority w:val="99"/>
    <w:semiHidden/>
    <w:rsid w:val="00FF1EC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1EC1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1E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9E"/>
    <w:pPr>
      <w:ind w:leftChars="200" w:left="480"/>
    </w:pPr>
  </w:style>
  <w:style w:type="table" w:styleId="-3">
    <w:name w:val="Light Shading Accent 3"/>
    <w:basedOn w:val="a1"/>
    <w:uiPriority w:val="60"/>
    <w:rsid w:val="004D2F9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4D2F9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4D2F9E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4D2F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2F9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D2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2F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37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72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2122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2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21221"/>
    <w:rPr>
      <w:sz w:val="20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3B69B5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3B69B5"/>
  </w:style>
  <w:style w:type="character" w:styleId="af">
    <w:name w:val="annotation reference"/>
    <w:basedOn w:val="a0"/>
    <w:uiPriority w:val="99"/>
    <w:semiHidden/>
    <w:unhideWhenUsed/>
    <w:rsid w:val="00FF1EC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1EC1"/>
  </w:style>
  <w:style w:type="character" w:customStyle="1" w:styleId="af1">
    <w:name w:val="註解文字 字元"/>
    <w:basedOn w:val="a0"/>
    <w:link w:val="af0"/>
    <w:uiPriority w:val="99"/>
    <w:semiHidden/>
    <w:rsid w:val="00FF1EC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1EC1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1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721226376526697E-2"/>
          <c:y val="6.4275349860743389E-2"/>
          <c:w val="0.88706907004766256"/>
          <c:h val="0.77237680307490963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買賣案件數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dLbl>
              <c:idx val="0"/>
              <c:layout>
                <c:manualLayout>
                  <c:x val="-5.0397815478306907E-2"/>
                  <c:y val="-4.7879984947208597E-2"/>
                </c:manualLayout>
              </c:layout>
              <c:numFmt formatCode="#,##0_);[Red]\(#,##0\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rgbClr val="C00000"/>
                      </a:solidFill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436583174857705E-2"/>
                  <c:y val="-4.4932719938963271E-2"/>
                </c:manualLayout>
              </c:layout>
              <c:numFmt formatCode="#,##0_);[Red]\(#,##0\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250346201231331E-2"/>
                  <c:y val="-5.6571802434176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004017587611666E-2"/>
                  <c:y val="-4.08650952047778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3000786946232439E-2"/>
                  <c:y val="-5.36682235435839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9265287204155484E-2"/>
                  <c:y val="5.40746580765664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4445239013301311E-2"/>
                  <c:y val="5.06703927141187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9605548189482061E-2"/>
                  <c:y val="-4.7179631124054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9616760415445278E-2"/>
                  <c:y val="-4.5332774701403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0411498194736511E-2"/>
                  <c:y val="4.7606860715585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0246925522123904E-2"/>
                  <c:y val="5.7250829176272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5.5238456490767113E-2"/>
                  <c:y val="5.1975472480841743E-2"/>
                </c:manualLayout>
              </c:layout>
              <c:numFmt formatCode="#,##0_);[Red]\(#,##0\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rgbClr val="C00000"/>
                      </a:solidFill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8182785128331528E-2"/>
                  <c:y val="-3.8899907880769233E-2"/>
                </c:manualLayout>
              </c:layout>
              <c:numFmt formatCode="#,##0_);[Red]\(#,##0\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rgbClr val="C00000"/>
                      </a:solidFill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numFmt formatCode="#,##0_);[Red]\(#,##0\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rgbClr val="C00000"/>
                      </a:solidFill>
                    </a:defRPr>
                  </a:pPr>
                  <a:endParaRPr lang="zh-TW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_);[Red]\(#,##0\)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工作表1!$A$2:$A$14</c:f>
              <c:strCache>
                <c:ptCount val="13"/>
                <c:pt idx="0">
                  <c:v>105/03</c:v>
                </c:pt>
                <c:pt idx="1">
                  <c:v>105/04</c:v>
                </c:pt>
                <c:pt idx="2">
                  <c:v>105/05</c:v>
                </c:pt>
                <c:pt idx="3">
                  <c:v>105/06</c:v>
                </c:pt>
                <c:pt idx="4">
                  <c:v>105/07</c:v>
                </c:pt>
                <c:pt idx="5">
                  <c:v>105/08</c:v>
                </c:pt>
                <c:pt idx="6">
                  <c:v>105/09</c:v>
                </c:pt>
                <c:pt idx="7">
                  <c:v>105/10</c:v>
                </c:pt>
                <c:pt idx="8">
                  <c:v>105/11</c:v>
                </c:pt>
                <c:pt idx="9">
                  <c:v>105/12</c:v>
                </c:pt>
                <c:pt idx="10">
                  <c:v>106/01</c:v>
                </c:pt>
                <c:pt idx="11">
                  <c:v>106/02</c:v>
                </c:pt>
                <c:pt idx="12">
                  <c:v>106/03</c:v>
                </c:pt>
              </c:strCache>
            </c:strRef>
          </c:cat>
          <c:val>
            <c:numRef>
              <c:f>工作表1!$B$2:$B$14</c:f>
              <c:numCache>
                <c:formatCode>General</c:formatCode>
                <c:ptCount val="13"/>
                <c:pt idx="0">
                  <c:v>3426</c:v>
                </c:pt>
                <c:pt idx="1">
                  <c:v>4077</c:v>
                </c:pt>
                <c:pt idx="2">
                  <c:v>4785</c:v>
                </c:pt>
                <c:pt idx="3">
                  <c:v>4352</c:v>
                </c:pt>
                <c:pt idx="4">
                  <c:v>4253</c:v>
                </c:pt>
                <c:pt idx="5">
                  <c:v>3310</c:v>
                </c:pt>
                <c:pt idx="6">
                  <c:v>2880</c:v>
                </c:pt>
                <c:pt idx="7">
                  <c:v>3445</c:v>
                </c:pt>
                <c:pt idx="8">
                  <c:v>3860</c:v>
                </c:pt>
                <c:pt idx="9">
                  <c:v>3643</c:v>
                </c:pt>
                <c:pt idx="10">
                  <c:v>2921</c:v>
                </c:pt>
                <c:pt idx="11">
                  <c:v>2296</c:v>
                </c:pt>
                <c:pt idx="12">
                  <c:v>3371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欄1</c:v>
                </c:pt>
              </c:strCache>
            </c:strRef>
          </c:tx>
          <c:spPr>
            <a:ln w="9525">
              <a:solidFill>
                <a:srgbClr val="FF5050"/>
              </a:solidFill>
              <a:prstDash val="sysDot"/>
            </a:ln>
          </c:spPr>
          <c:marker>
            <c:symbol val="none"/>
          </c:marker>
          <c:cat>
            <c:strRef>
              <c:f>工作表1!$A$2:$A$14</c:f>
              <c:strCache>
                <c:ptCount val="13"/>
                <c:pt idx="0">
                  <c:v>105/03</c:v>
                </c:pt>
                <c:pt idx="1">
                  <c:v>105/04</c:v>
                </c:pt>
                <c:pt idx="2">
                  <c:v>105/05</c:v>
                </c:pt>
                <c:pt idx="3">
                  <c:v>105/06</c:v>
                </c:pt>
                <c:pt idx="4">
                  <c:v>105/07</c:v>
                </c:pt>
                <c:pt idx="5">
                  <c:v>105/08</c:v>
                </c:pt>
                <c:pt idx="6">
                  <c:v>105/09</c:v>
                </c:pt>
                <c:pt idx="7">
                  <c:v>105/10</c:v>
                </c:pt>
                <c:pt idx="8">
                  <c:v>105/11</c:v>
                </c:pt>
                <c:pt idx="9">
                  <c:v>105/12</c:v>
                </c:pt>
                <c:pt idx="10">
                  <c:v>106/01</c:v>
                </c:pt>
                <c:pt idx="11">
                  <c:v>106/02</c:v>
                </c:pt>
                <c:pt idx="12">
                  <c:v>106/03</c:v>
                </c:pt>
              </c:strCache>
            </c:strRef>
          </c:cat>
          <c:val>
            <c:numRef>
              <c:f>工作表1!$C$2:$C$14</c:f>
              <c:numCache>
                <c:formatCode>General</c:formatCode>
                <c:ptCount val="13"/>
                <c:pt idx="0">
                  <c:v>3371</c:v>
                </c:pt>
                <c:pt idx="1">
                  <c:v>3371</c:v>
                </c:pt>
                <c:pt idx="2">
                  <c:v>3371</c:v>
                </c:pt>
                <c:pt idx="3">
                  <c:v>3371</c:v>
                </c:pt>
                <c:pt idx="4">
                  <c:v>3371</c:v>
                </c:pt>
                <c:pt idx="5">
                  <c:v>3371</c:v>
                </c:pt>
                <c:pt idx="6">
                  <c:v>3371</c:v>
                </c:pt>
                <c:pt idx="7">
                  <c:v>3371</c:v>
                </c:pt>
                <c:pt idx="8">
                  <c:v>3371</c:v>
                </c:pt>
                <c:pt idx="9">
                  <c:v>3371</c:v>
                </c:pt>
                <c:pt idx="10">
                  <c:v>3371</c:v>
                </c:pt>
                <c:pt idx="11">
                  <c:v>3371</c:v>
                </c:pt>
                <c:pt idx="12">
                  <c:v>3371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5316224"/>
        <c:axId val="265317760"/>
      </c:lineChart>
      <c:catAx>
        <c:axId val="26531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5317760"/>
        <c:crosses val="autoZero"/>
        <c:auto val="1"/>
        <c:lblAlgn val="ctr"/>
        <c:lblOffset val="100"/>
        <c:noMultiLvlLbl val="0"/>
      </c:catAx>
      <c:valAx>
        <c:axId val="26531776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_);[Red]\(#,##0\)" sourceLinked="0"/>
        <c:majorTickMark val="out"/>
        <c:minorTickMark val="none"/>
        <c:tickLblPos val="nextTo"/>
        <c:crossAx val="265316224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7622145037206203"/>
          <c:y val="5.9806006430389913E-2"/>
          <c:w val="0.19323671497584541"/>
          <c:h val="7.905098747902414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977788168377729E-2"/>
          <c:y val="4.5822204942697085E-2"/>
          <c:w val="0.8785896877143663"/>
          <c:h val="0.8020496610121006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新成屋</c:v>
                </c:pt>
              </c:strCache>
            </c:strRef>
          </c:tx>
          <c:marker>
            <c:symbol val="square"/>
            <c:size val="7"/>
          </c:marker>
          <c:dLbls>
            <c:dLbl>
              <c:idx val="0"/>
              <c:layout>
                <c:manualLayout>
                  <c:x val="-4.7335575459992792E-2"/>
                  <c:y val="-7.7350834923840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845463606877386E-2"/>
                  <c:y val="-8.3549056118201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574612864835016E-2"/>
                  <c:y val="-6.39587489126523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0967836323554429E-2"/>
                  <c:y val="-0.1030968156572812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9428075574424952E-2"/>
                  <c:y val="-9.70323572463957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微軟正黑體" pitchFamily="34" charset="-12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Sheet1!$B$2:$B$14</c:f>
              <c:numCache>
                <c:formatCode>#,##0.00_ </c:formatCode>
                <c:ptCount val="13"/>
                <c:pt idx="0">
                  <c:v>18.763541176470582</c:v>
                </c:pt>
                <c:pt idx="1">
                  <c:v>19.241352173913047</c:v>
                </c:pt>
                <c:pt idx="2">
                  <c:v>19.694427777777779</c:v>
                </c:pt>
                <c:pt idx="3">
                  <c:v>18.770507999999992</c:v>
                </c:pt>
                <c:pt idx="4">
                  <c:v>19.006870786516838</c:v>
                </c:pt>
                <c:pt idx="5">
                  <c:v>18.924424460431659</c:v>
                </c:pt>
                <c:pt idx="6">
                  <c:v>19.92416049382717</c:v>
                </c:pt>
                <c:pt idx="7">
                  <c:v>18.020851094890507</c:v>
                </c:pt>
                <c:pt idx="8">
                  <c:v>20.438643749999997</c:v>
                </c:pt>
                <c:pt idx="9">
                  <c:v>20.471132758620691</c:v>
                </c:pt>
                <c:pt idx="10">
                  <c:v>18.148724324324316</c:v>
                </c:pt>
                <c:pt idx="11">
                  <c:v>18.845704255319152</c:v>
                </c:pt>
                <c:pt idx="12">
                  <c:v>20.79767272727273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中古屋</c:v>
                </c:pt>
              </c:strCache>
            </c:strRef>
          </c:tx>
          <c:marker>
            <c:symbol val="circle"/>
            <c:size val="7"/>
          </c:marker>
          <c:dLbls>
            <c:txPr>
              <a:bodyPr/>
              <a:lstStyle/>
              <a:p>
                <a:pPr>
                  <a:defRPr sz="1000">
                    <a:solidFill>
                      <a:srgbClr val="FF0000"/>
                    </a:solidFill>
                    <a:latin typeface="+mn-lt"/>
                    <a:ea typeface="微軟正黑體" pitchFamily="34" charset="-120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Sheet1!$C$2:$C$14</c:f>
              <c:numCache>
                <c:formatCode>0.00_ </c:formatCode>
                <c:ptCount val="13"/>
                <c:pt idx="0">
                  <c:v>15.466814285714284</c:v>
                </c:pt>
                <c:pt idx="1">
                  <c:v>16.052818181818186</c:v>
                </c:pt>
                <c:pt idx="2">
                  <c:v>15.32276206896552</c:v>
                </c:pt>
                <c:pt idx="3">
                  <c:v>16.120647692307685</c:v>
                </c:pt>
                <c:pt idx="4">
                  <c:v>15.771160317460318</c:v>
                </c:pt>
                <c:pt idx="5">
                  <c:v>15.814643076923081</c:v>
                </c:pt>
                <c:pt idx="6">
                  <c:v>15.96232833333333</c:v>
                </c:pt>
                <c:pt idx="7">
                  <c:v>15.957581250000004</c:v>
                </c:pt>
                <c:pt idx="8">
                  <c:v>15.693251020408166</c:v>
                </c:pt>
                <c:pt idx="9">
                  <c:v>15.53202380952381</c:v>
                </c:pt>
                <c:pt idx="10">
                  <c:v>15.478926666666668</c:v>
                </c:pt>
                <c:pt idx="11">
                  <c:v>16.262129687499996</c:v>
                </c:pt>
                <c:pt idx="12">
                  <c:v>17.205964285714284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426816"/>
        <c:axId val="135428352"/>
      </c:lineChart>
      <c:dateAx>
        <c:axId val="135426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60000"/>
          <a:lstStyle/>
          <a:p>
            <a:pPr>
              <a:defRPr/>
            </a:pPr>
            <a:endParaRPr lang="zh-TW"/>
          </a:p>
        </c:txPr>
        <c:crossAx val="135428352"/>
        <c:crosses val="autoZero"/>
        <c:auto val="0"/>
        <c:lblOffset val="100"/>
        <c:baseTimeUnit val="days"/>
      </c:dateAx>
      <c:valAx>
        <c:axId val="135428352"/>
        <c:scaling>
          <c:orientation val="minMax"/>
          <c:max val="30"/>
          <c:min val="1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.00_ 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微軟正黑體" pitchFamily="34" charset="-120"/>
                <a:ea typeface="微軟正黑體" pitchFamily="34" charset="-120"/>
              </a:defRPr>
            </a:pPr>
            <a:endParaRPr lang="zh-TW"/>
          </a:p>
        </c:txPr>
        <c:crossAx val="135426816"/>
        <c:crossesAt val="1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82512850792686154"/>
          <c:y val="5.8072612502877284E-2"/>
          <c:w val="0.14617560870055465"/>
          <c:h val="0.18897432403949707"/>
        </c:manualLayout>
      </c:layout>
      <c:overlay val="0"/>
      <c:txPr>
        <a:bodyPr/>
        <a:lstStyle/>
        <a:p>
          <a:pPr>
            <a:defRPr>
              <a:latin typeface="微軟正黑體" pitchFamily="34" charset="-120"/>
              <a:ea typeface="微軟正黑體" pitchFamily="34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977788168377729E-2"/>
          <c:y val="4.5822204942697016E-2"/>
          <c:w val="0.8785896877143663"/>
          <c:h val="0.8020496610121006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新成屋</c:v>
                </c:pt>
              </c:strCache>
            </c:strRef>
          </c:tx>
          <c:marker>
            <c:symbol val="square"/>
            <c:size val="7"/>
          </c:marker>
          <c:dLbls>
            <c:dLbl>
              <c:idx val="0"/>
              <c:layout>
                <c:manualLayout>
                  <c:x val="-4.7351092200051625E-2"/>
                  <c:y val="-8.5078948806206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845463606877386E-2"/>
                  <c:y val="-8.3549056118201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977491159126133E-2"/>
                  <c:y val="-6.5486746589108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微軟正黑體" pitchFamily="34" charset="-12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Sheet1!$B$2:$B$14</c:f>
              <c:numCache>
                <c:formatCode>0.00_ </c:formatCode>
                <c:ptCount val="13"/>
                <c:pt idx="0">
                  <c:v>21.38567157894737</c:v>
                </c:pt>
                <c:pt idx="1">
                  <c:v>24.644128205128197</c:v>
                </c:pt>
                <c:pt idx="2">
                  <c:v>20.668340000000004</c:v>
                </c:pt>
                <c:pt idx="3">
                  <c:v>22.222847826086955</c:v>
                </c:pt>
                <c:pt idx="4">
                  <c:v>20.208243085106375</c:v>
                </c:pt>
                <c:pt idx="5">
                  <c:v>20.722320074349437</c:v>
                </c:pt>
                <c:pt idx="6">
                  <c:v>25.422759171597619</c:v>
                </c:pt>
                <c:pt idx="7">
                  <c:v>20.764801923076909</c:v>
                </c:pt>
                <c:pt idx="8">
                  <c:v>22.405417032967026</c:v>
                </c:pt>
                <c:pt idx="9">
                  <c:v>18.307837254901951</c:v>
                </c:pt>
                <c:pt idx="10">
                  <c:v>23.261126254826248</c:v>
                </c:pt>
                <c:pt idx="11">
                  <c:v>18.458942307692308</c:v>
                </c:pt>
                <c:pt idx="12">
                  <c:v>21.93766290322581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中古屋</c:v>
                </c:pt>
              </c:strCache>
            </c:strRef>
          </c:tx>
          <c:marker>
            <c:symbol val="circle"/>
            <c:size val="7"/>
          </c:marker>
          <c:dLbls>
            <c:txPr>
              <a:bodyPr/>
              <a:lstStyle/>
              <a:p>
                <a:pPr>
                  <a:defRPr sz="1000">
                    <a:solidFill>
                      <a:srgbClr val="FF0000"/>
                    </a:solidFill>
                    <a:latin typeface="+mn-lt"/>
                    <a:ea typeface="微軟正黑體" pitchFamily="34" charset="-120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Sheet1!$C$2:$C$14</c:f>
              <c:numCache>
                <c:formatCode>0.00_ </c:formatCode>
                <c:ptCount val="13"/>
                <c:pt idx="0">
                  <c:v>16.687000000000001</c:v>
                </c:pt>
                <c:pt idx="1">
                  <c:v>17.147638235294114</c:v>
                </c:pt>
                <c:pt idx="2">
                  <c:v>17.342222058823523</c:v>
                </c:pt>
                <c:pt idx="3">
                  <c:v>16.738578787878797</c:v>
                </c:pt>
                <c:pt idx="4">
                  <c:v>16.643055395683444</c:v>
                </c:pt>
                <c:pt idx="5">
                  <c:v>17.400378861788614</c:v>
                </c:pt>
                <c:pt idx="6">
                  <c:v>17.105901183431961</c:v>
                </c:pt>
                <c:pt idx="7">
                  <c:v>16.880020915032667</c:v>
                </c:pt>
                <c:pt idx="8">
                  <c:v>16.57956614173229</c:v>
                </c:pt>
                <c:pt idx="9">
                  <c:v>16.379146478873228</c:v>
                </c:pt>
                <c:pt idx="10">
                  <c:v>17.019077443609024</c:v>
                </c:pt>
                <c:pt idx="11">
                  <c:v>16.699526804123717</c:v>
                </c:pt>
                <c:pt idx="12">
                  <c:v>16.811985245901639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750400"/>
        <c:axId val="135751936"/>
      </c:lineChart>
      <c:dateAx>
        <c:axId val="13575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60000"/>
          <a:lstStyle/>
          <a:p>
            <a:pPr>
              <a:defRPr/>
            </a:pPr>
            <a:endParaRPr lang="zh-TW"/>
          </a:p>
        </c:txPr>
        <c:crossAx val="135751936"/>
        <c:crosses val="autoZero"/>
        <c:auto val="0"/>
        <c:lblOffset val="100"/>
        <c:baseTimeUnit val="days"/>
      </c:dateAx>
      <c:valAx>
        <c:axId val="135751936"/>
        <c:scaling>
          <c:orientation val="minMax"/>
          <c:max val="35"/>
          <c:min val="1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0_ 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微軟正黑體" pitchFamily="34" charset="-120"/>
                <a:ea typeface="微軟正黑體" pitchFamily="34" charset="-120"/>
              </a:defRPr>
            </a:pPr>
            <a:endParaRPr lang="zh-TW"/>
          </a:p>
        </c:txPr>
        <c:crossAx val="135750400"/>
        <c:crossesAt val="1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82512850792686154"/>
          <c:y val="5.8072612502877284E-2"/>
          <c:w val="0.14617560870055482"/>
          <c:h val="0.18897432403949693"/>
        </c:manualLayout>
      </c:layout>
      <c:overlay val="0"/>
      <c:txPr>
        <a:bodyPr/>
        <a:lstStyle/>
        <a:p>
          <a:pPr>
            <a:defRPr>
              <a:latin typeface="微軟正黑體" pitchFamily="34" charset="-120"/>
              <a:ea typeface="微軟正黑體" pitchFamily="34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977788168377729E-2"/>
          <c:y val="4.5822204942697051E-2"/>
          <c:w val="0.8785896877143663"/>
          <c:h val="0.8020496610121006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新成屋</c:v>
                </c:pt>
              </c:strCache>
            </c:strRef>
          </c:tx>
          <c:marker>
            <c:symbol val="square"/>
            <c:size val="7"/>
          </c:marker>
          <c:dLbls>
            <c:dLbl>
              <c:idx val="0"/>
              <c:layout>
                <c:manualLayout>
                  <c:x val="-4.48993153149835E-2"/>
                  <c:y val="-8.2280532391799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282955946777216E-2"/>
                  <c:y val="7.402672393223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2225501062824184E-2"/>
                  <c:y val="-9.63120973514674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3362601309455859E-2"/>
                  <c:y val="-7.778897641395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8513149750248313E-2"/>
                  <c:y val="7.2105941302791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0925981036098841E-2"/>
                  <c:y val="-7.39799053281269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微軟正黑體" pitchFamily="34" charset="-12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Sheet1!$B$2:$B$14</c:f>
              <c:numCache>
                <c:formatCode>0.00_ </c:formatCode>
                <c:ptCount val="13"/>
                <c:pt idx="0">
                  <c:v>18.027425000000001</c:v>
                </c:pt>
                <c:pt idx="1">
                  <c:v>17.560649999999999</c:v>
                </c:pt>
                <c:pt idx="2">
                  <c:v>14.562574829931963</c:v>
                </c:pt>
                <c:pt idx="3">
                  <c:v>15.374069444444444</c:v>
                </c:pt>
                <c:pt idx="4">
                  <c:v>15.755154411764707</c:v>
                </c:pt>
                <c:pt idx="5">
                  <c:v>15.300090196078427</c:v>
                </c:pt>
                <c:pt idx="6">
                  <c:v>16.990600000000001</c:v>
                </c:pt>
                <c:pt idx="7">
                  <c:v>16.325766666666667</c:v>
                </c:pt>
                <c:pt idx="8">
                  <c:v>17.498856</c:v>
                </c:pt>
                <c:pt idx="9">
                  <c:v>18.693941176470592</c:v>
                </c:pt>
                <c:pt idx="10">
                  <c:v>17.843511538461538</c:v>
                </c:pt>
                <c:pt idx="11">
                  <c:v>16.987727777777781</c:v>
                </c:pt>
                <c:pt idx="12">
                  <c:v>15.53162857142857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中古屋</c:v>
                </c:pt>
              </c:strCache>
            </c:strRef>
          </c:tx>
          <c:marker>
            <c:symbol val="circle"/>
            <c:size val="7"/>
          </c:marker>
          <c:dLbls>
            <c:dLbl>
              <c:idx val="2"/>
              <c:layout>
                <c:manualLayout>
                  <c:x val="-5.3388225923313513E-2"/>
                  <c:y val="-7.8166547363397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093653284198705E-2"/>
                  <c:y val="6.7401097590073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3366633240042143E-2"/>
                  <c:y val="7.93603313610820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0950687836780917E-2"/>
                  <c:y val="-8.4227153424003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0923944645842011E-2"/>
                  <c:y val="6.34995890264095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0967826537898324E-2"/>
                  <c:y val="6.7161015536361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8529468516669928E-2"/>
                  <c:y val="6.1111846749310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solidFill>
                      <a:srgbClr val="FF0000"/>
                    </a:solidFill>
                    <a:latin typeface="+mn-lt"/>
                    <a:ea typeface="微軟正黑體" pitchFamily="34" charset="-120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Sheet1!$C$2:$C$14</c:f>
              <c:numCache>
                <c:formatCode>0.00_ </c:formatCode>
                <c:ptCount val="13"/>
                <c:pt idx="0">
                  <c:v>15.760419047619049</c:v>
                </c:pt>
                <c:pt idx="1">
                  <c:v>15.422417857142857</c:v>
                </c:pt>
                <c:pt idx="2">
                  <c:v>15.555501785714286</c:v>
                </c:pt>
                <c:pt idx="3">
                  <c:v>14.809791666666662</c:v>
                </c:pt>
                <c:pt idx="4">
                  <c:v>14.875473770491801</c:v>
                </c:pt>
                <c:pt idx="5">
                  <c:v>15.460118604651164</c:v>
                </c:pt>
                <c:pt idx="6">
                  <c:v>14.853973333333334</c:v>
                </c:pt>
                <c:pt idx="7">
                  <c:v>14.990671739130438</c:v>
                </c:pt>
                <c:pt idx="8">
                  <c:v>16.4801</c:v>
                </c:pt>
                <c:pt idx="9">
                  <c:v>15.783884615384617</c:v>
                </c:pt>
                <c:pt idx="10">
                  <c:v>15.675262264150941</c:v>
                </c:pt>
                <c:pt idx="11">
                  <c:v>15.26773913043478</c:v>
                </c:pt>
                <c:pt idx="12">
                  <c:v>14.728067857142856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210112"/>
        <c:axId val="135211648"/>
      </c:lineChart>
      <c:dateAx>
        <c:axId val="13521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60000"/>
          <a:lstStyle/>
          <a:p>
            <a:pPr>
              <a:defRPr/>
            </a:pPr>
            <a:endParaRPr lang="zh-TW"/>
          </a:p>
        </c:txPr>
        <c:crossAx val="135211648"/>
        <c:crosses val="autoZero"/>
        <c:auto val="0"/>
        <c:lblOffset val="100"/>
        <c:baseTimeUnit val="days"/>
      </c:dateAx>
      <c:valAx>
        <c:axId val="135211648"/>
        <c:scaling>
          <c:orientation val="minMax"/>
          <c:max val="25"/>
          <c:min val="1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0_ 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微軟正黑體" pitchFamily="34" charset="-120"/>
                <a:ea typeface="微軟正黑體" pitchFamily="34" charset="-120"/>
              </a:defRPr>
            </a:pPr>
            <a:endParaRPr lang="zh-TW"/>
          </a:p>
        </c:txPr>
        <c:crossAx val="135210112"/>
        <c:crossesAt val="1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82512850792686154"/>
          <c:y val="5.8072612502877284E-2"/>
          <c:w val="0.14630148127369838"/>
          <c:h val="0.23188797892031388"/>
        </c:manualLayout>
      </c:layout>
      <c:overlay val="0"/>
      <c:txPr>
        <a:bodyPr/>
        <a:lstStyle/>
        <a:p>
          <a:pPr>
            <a:defRPr>
              <a:latin typeface="微軟正黑體" pitchFamily="34" charset="-120"/>
              <a:ea typeface="微軟正黑體" pitchFamily="34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977788168377729E-2"/>
          <c:y val="4.582220494269712E-2"/>
          <c:w val="0.8785896877143663"/>
          <c:h val="0.8020496610121006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新成屋</c:v>
                </c:pt>
              </c:strCache>
            </c:strRef>
          </c:tx>
          <c:marker>
            <c:symbol val="square"/>
            <c:size val="7"/>
          </c:marker>
          <c:dLbls>
            <c:dLbl>
              <c:idx val="0"/>
              <c:layout>
                <c:manualLayout>
                  <c:x val="-4.48993153149835E-2"/>
                  <c:y val="-8.2280532391799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091119344784277E-2"/>
                  <c:y val="-9.0725431662656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845463606877386E-2"/>
                  <c:y val="-8.3549056118201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91393852395309E-2"/>
                  <c:y val="-7.16476194312605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611481558138002E-2"/>
                  <c:y val="-7.66059014433139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5800778047554518E-2"/>
                  <c:y val="-7.6606374459401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1214402366014119E-2"/>
                  <c:y val="-8.4718127348229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3379123273805389E-2"/>
                  <c:y val="-8.75429794242731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5844573358860304E-2"/>
                  <c:y val="-7.8714620131942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9415477470911536E-2"/>
                  <c:y val="-6.0688910090521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微軟正黑體" pitchFamily="34" charset="-12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Sheet1!$B$2:$B$14</c:f>
              <c:numCache>
                <c:formatCode>0.00_ </c:formatCode>
                <c:ptCount val="13"/>
                <c:pt idx="0">
                  <c:v>24.004676595744677</c:v>
                </c:pt>
                <c:pt idx="1">
                  <c:v>27.82220666666667</c:v>
                </c:pt>
                <c:pt idx="2">
                  <c:v>24.939202020202021</c:v>
                </c:pt>
                <c:pt idx="3">
                  <c:v>25.453795348837211</c:v>
                </c:pt>
                <c:pt idx="4">
                  <c:v>24.124837272727259</c:v>
                </c:pt>
                <c:pt idx="5">
                  <c:v>24.905677941176467</c:v>
                </c:pt>
                <c:pt idx="6">
                  <c:v>26.022894505494506</c:v>
                </c:pt>
                <c:pt idx="7">
                  <c:v>29.168211206896554</c:v>
                </c:pt>
                <c:pt idx="8">
                  <c:v>23.3708980392157</c:v>
                </c:pt>
                <c:pt idx="9">
                  <c:v>25.162224999999992</c:v>
                </c:pt>
                <c:pt idx="10">
                  <c:v>23.239928813559313</c:v>
                </c:pt>
                <c:pt idx="11">
                  <c:v>26.603027777777772</c:v>
                </c:pt>
                <c:pt idx="12">
                  <c:v>31.023154166666661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中古屋</c:v>
                </c:pt>
              </c:strCache>
            </c:strRef>
          </c:tx>
          <c:marker>
            <c:symbol val="circle"/>
            <c:size val="7"/>
          </c:marker>
          <c:dLbls>
            <c:dLbl>
              <c:idx val="0"/>
              <c:layout>
                <c:manualLayout>
                  <c:x val="-4.6075803595848508E-2"/>
                  <c:y val="6.6681799910146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950687836780938E-2"/>
                  <c:y val="6.6681799910146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8487907325432004E-2"/>
                  <c:y val="6.9521155583192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0950687836780917E-2"/>
                  <c:y val="6.6681799910146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0950687836780917E-2"/>
                  <c:y val="7.2687805916152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0923975638933333E-2"/>
                  <c:y val="6.9521155583192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8513149750248313E-2"/>
                  <c:y val="6.6681799910146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0950687836780917E-2"/>
                  <c:y val="6.6681799910146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0950687836780917E-2"/>
                  <c:y val="6.6681799910146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0950687836780917E-2"/>
                  <c:y val="7.869381192215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9461342469302853E-2"/>
                  <c:y val="6.6681799910146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solidFill>
                      <a:srgbClr val="FF0000"/>
                    </a:solidFill>
                    <a:latin typeface="+mn-lt"/>
                    <a:ea typeface="微軟正黑體" pitchFamily="34" charset="-120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Sheet1!$C$2:$C$14</c:f>
              <c:numCache>
                <c:formatCode>0.00_ </c:formatCode>
                <c:ptCount val="13"/>
                <c:pt idx="0">
                  <c:v>18.370173749999996</c:v>
                </c:pt>
                <c:pt idx="1">
                  <c:v>18.397532773109251</c:v>
                </c:pt>
                <c:pt idx="2">
                  <c:v>19.177733467741927</c:v>
                </c:pt>
                <c:pt idx="3">
                  <c:v>19.339279136690649</c:v>
                </c:pt>
                <c:pt idx="4">
                  <c:v>19.89967</c:v>
                </c:pt>
                <c:pt idx="5">
                  <c:v>18.994335064935072</c:v>
                </c:pt>
                <c:pt idx="6">
                  <c:v>19.651232302405486</c:v>
                </c:pt>
                <c:pt idx="7">
                  <c:v>19.830505581395368</c:v>
                </c:pt>
                <c:pt idx="8">
                  <c:v>19.275624892703856</c:v>
                </c:pt>
                <c:pt idx="9">
                  <c:v>18.979112931034479</c:v>
                </c:pt>
                <c:pt idx="10">
                  <c:v>19.99320050251254</c:v>
                </c:pt>
                <c:pt idx="11">
                  <c:v>19.382051098901098</c:v>
                </c:pt>
                <c:pt idx="12">
                  <c:v>18.48841971830986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889664"/>
        <c:axId val="135891200"/>
      </c:lineChart>
      <c:dateAx>
        <c:axId val="13588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60000"/>
          <a:lstStyle/>
          <a:p>
            <a:pPr>
              <a:defRPr/>
            </a:pPr>
            <a:endParaRPr lang="zh-TW"/>
          </a:p>
        </c:txPr>
        <c:crossAx val="135891200"/>
        <c:crosses val="autoZero"/>
        <c:auto val="0"/>
        <c:lblOffset val="100"/>
        <c:baseTimeUnit val="days"/>
      </c:dateAx>
      <c:valAx>
        <c:axId val="135891200"/>
        <c:scaling>
          <c:orientation val="minMax"/>
          <c:max val="40"/>
          <c:min val="15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0_ 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微軟正黑體" pitchFamily="34" charset="-120"/>
                <a:ea typeface="微軟正黑體" pitchFamily="34" charset="-120"/>
              </a:defRPr>
            </a:pPr>
            <a:endParaRPr lang="zh-TW"/>
          </a:p>
        </c:txPr>
        <c:crossAx val="135889664"/>
        <c:crossesAt val="1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82512850792686154"/>
          <c:y val="5.8072612502877284E-2"/>
          <c:w val="0.1461756087005546"/>
          <c:h val="0.18897432403949718"/>
        </c:manualLayout>
      </c:layout>
      <c:overlay val="0"/>
      <c:txPr>
        <a:bodyPr/>
        <a:lstStyle/>
        <a:p>
          <a:pPr>
            <a:defRPr>
              <a:latin typeface="微軟正黑體" pitchFamily="34" charset="-120"/>
              <a:ea typeface="微軟正黑體" pitchFamily="34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977788168377729E-2"/>
          <c:y val="4.5822204942697141E-2"/>
          <c:w val="0.8785896877143663"/>
          <c:h val="0.8020496610121006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新成屋</c:v>
                </c:pt>
              </c:strCache>
            </c:strRef>
          </c:tx>
          <c:marker>
            <c:symbol val="square"/>
            <c:size val="7"/>
          </c:marker>
          <c:dLbls>
            <c:dLbl>
              <c:idx val="0"/>
              <c:layout>
                <c:manualLayout>
                  <c:x val="-5.4681080769839782E-2"/>
                  <c:y val="-9.62843158118748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924009270322014E-2"/>
                  <c:y val="-5.70546924877633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7590579970922283E-2"/>
                  <c:y val="5.9518573691802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4645149720971148E-2"/>
                  <c:y val="5.726477371845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8488099156939024E-2"/>
                  <c:y val="6.3580676051723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8488966301515786E-2"/>
                  <c:y val="-8.056324040576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8491845283507751E-2"/>
                  <c:y val="6.8467049726892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0924061068784367E-2"/>
                  <c:y val="7.9583575360012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5800812832582397E-2"/>
                  <c:y val="-7.7824123335934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0925981036098841E-2"/>
                  <c:y val="-7.7820170550761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0924009270322014E-2"/>
                  <c:y val="6.5387907592632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8280384056197732E-2"/>
                  <c:y val="-7.267030810337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9533508951234842E-2"/>
                  <c:y val="-7.4590338369865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微軟正黑體" pitchFamily="34" charset="-12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Sheet1!$B$2:$B$14</c:f>
              <c:numCache>
                <c:formatCode>0.00_ </c:formatCode>
                <c:ptCount val="13"/>
                <c:pt idx="0">
                  <c:v>20.154517948717945</c:v>
                </c:pt>
                <c:pt idx="1">
                  <c:v>28.71988125</c:v>
                </c:pt>
                <c:pt idx="2">
                  <c:v>15.081030669800246</c:v>
                </c:pt>
                <c:pt idx="3">
                  <c:v>15.196447011952189</c:v>
                </c:pt>
                <c:pt idx="4">
                  <c:v>15.046062195121952</c:v>
                </c:pt>
                <c:pt idx="5">
                  <c:v>18.939147945205466</c:v>
                </c:pt>
                <c:pt idx="6">
                  <c:v>16.80897312252965</c:v>
                </c:pt>
                <c:pt idx="7">
                  <c:v>19.503421874999994</c:v>
                </c:pt>
                <c:pt idx="8">
                  <c:v>22.429956666666666</c:v>
                </c:pt>
                <c:pt idx="9">
                  <c:v>21.583016666666666</c:v>
                </c:pt>
                <c:pt idx="10">
                  <c:v>19.252990909090908</c:v>
                </c:pt>
                <c:pt idx="11">
                  <c:v>21.821071428571425</c:v>
                </c:pt>
                <c:pt idx="12">
                  <c:v>21.731144444444446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中古屋</c:v>
                </c:pt>
              </c:strCache>
            </c:strRef>
          </c:tx>
          <c:marker>
            <c:symbol val="circle"/>
            <c:size val="7"/>
          </c:marker>
          <c:dLbls>
            <c:dLbl>
              <c:idx val="0"/>
              <c:layout>
                <c:manualLayout>
                  <c:x val="-5.0950687836780924E-2"/>
                  <c:y val="6.0675793904140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950687836780938E-2"/>
                  <c:y val="5.46697878981343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5842078241133936E-2"/>
                  <c:y val="-7.14407320706533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584455330232458E-2"/>
                  <c:y val="-7.14718186341938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615578866920343E-2"/>
                  <c:y val="-5.3721281115804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3405307883132525E-2"/>
                  <c:y val="7.8679624506396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8487622776586199E-2"/>
                  <c:y val="-6.89375990163391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3362419558169442E-2"/>
                  <c:y val="-8.0661579533908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0920746424064363E-2"/>
                  <c:y val="7.3513513513513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3364531522215368E-2"/>
                  <c:y val="6.25729627660480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0967769796599921E-2"/>
                  <c:y val="-8.3448487857936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0967769796599921E-2"/>
                  <c:y val="6.66638291835142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9.7865782862933022E-3"/>
                  <c:y val="7.5181953607150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solidFill>
                      <a:srgbClr val="FF0000"/>
                    </a:solidFill>
                    <a:latin typeface="+mn-lt"/>
                    <a:ea typeface="微軟正黑體" pitchFamily="34" charset="-120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Sheet1!$C$2:$C$14</c:f>
              <c:numCache>
                <c:formatCode>0.00_ </c:formatCode>
                <c:ptCount val="13"/>
                <c:pt idx="0">
                  <c:v>19.066231578947367</c:v>
                </c:pt>
                <c:pt idx="1">
                  <c:v>18.549500000000002</c:v>
                </c:pt>
                <c:pt idx="2">
                  <c:v>20.969239999999999</c:v>
                </c:pt>
                <c:pt idx="3">
                  <c:v>20.613480000000003</c:v>
                </c:pt>
                <c:pt idx="4">
                  <c:v>19.876734210526312</c:v>
                </c:pt>
                <c:pt idx="5">
                  <c:v>18.486695833333332</c:v>
                </c:pt>
                <c:pt idx="6">
                  <c:v>19.390679310344822</c:v>
                </c:pt>
                <c:pt idx="7">
                  <c:v>20.175541379310342</c:v>
                </c:pt>
                <c:pt idx="8">
                  <c:v>19.67400416666667</c:v>
                </c:pt>
                <c:pt idx="9">
                  <c:v>20.922961290322583</c:v>
                </c:pt>
                <c:pt idx="10">
                  <c:v>22.216059999999999</c:v>
                </c:pt>
                <c:pt idx="11">
                  <c:v>20.165979310344824</c:v>
                </c:pt>
                <c:pt idx="12">
                  <c:v>16.585091666666663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664384"/>
        <c:axId val="135665920"/>
      </c:lineChart>
      <c:dateAx>
        <c:axId val="13566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60000"/>
          <a:lstStyle/>
          <a:p>
            <a:pPr>
              <a:defRPr/>
            </a:pPr>
            <a:endParaRPr lang="zh-TW"/>
          </a:p>
        </c:txPr>
        <c:crossAx val="135665920"/>
        <c:crosses val="autoZero"/>
        <c:auto val="0"/>
        <c:lblOffset val="100"/>
        <c:baseTimeUnit val="days"/>
      </c:dateAx>
      <c:valAx>
        <c:axId val="135665920"/>
        <c:scaling>
          <c:orientation val="minMax"/>
          <c:max val="35"/>
          <c:min val="1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0_ 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微軟正黑體" pitchFamily="34" charset="-120"/>
                <a:ea typeface="微軟正黑體" pitchFamily="34" charset="-120"/>
              </a:defRPr>
            </a:pPr>
            <a:endParaRPr lang="zh-TW"/>
          </a:p>
        </c:txPr>
        <c:crossAx val="135664384"/>
        <c:crossesAt val="1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82512850792686154"/>
          <c:y val="5.8072612502877284E-2"/>
          <c:w val="0.14625228519195613"/>
          <c:h val="0.2302333829892885"/>
        </c:manualLayout>
      </c:layout>
      <c:overlay val="0"/>
      <c:txPr>
        <a:bodyPr/>
        <a:lstStyle/>
        <a:p>
          <a:pPr>
            <a:defRPr>
              <a:latin typeface="微軟正黑體" pitchFamily="34" charset="-120"/>
              <a:ea typeface="微軟正黑體" pitchFamily="34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977788168377729E-2"/>
          <c:y val="4.582220494269712E-2"/>
          <c:w val="0.8785896877143663"/>
          <c:h val="0.8020496610121006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新成屋</c:v>
                </c:pt>
              </c:strCache>
            </c:strRef>
          </c:tx>
          <c:marker>
            <c:symbol val="square"/>
            <c:size val="7"/>
          </c:marker>
          <c:dLbls>
            <c:dLbl>
              <c:idx val="0"/>
              <c:layout>
                <c:manualLayout>
                  <c:x val="-4.48993153149835E-2"/>
                  <c:y val="-8.2280532391799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845463606877386E-2"/>
                  <c:y val="-8.3549056118201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9777982505386092E-2"/>
                  <c:y val="-8.31619576964644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8488099156939024E-2"/>
                  <c:y val="-6.4591458115233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3401242679603486E-2"/>
                  <c:y val="-9.0924260596263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0924009270322014E-2"/>
                  <c:y val="-0.100790726950986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850240629503523E-2"/>
                  <c:y val="-6.9521358928828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微軟正黑體" pitchFamily="34" charset="-12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Sheet1!$B$2:$B$14</c:f>
              <c:numCache>
                <c:formatCode>0.00_ </c:formatCode>
                <c:ptCount val="13"/>
                <c:pt idx="0">
                  <c:v>21.681914285714292</c:v>
                </c:pt>
                <c:pt idx="1">
                  <c:v>24.350954545454545</c:v>
                </c:pt>
                <c:pt idx="2">
                  <c:v>23.24305</c:v>
                </c:pt>
                <c:pt idx="3">
                  <c:v>22.48865142857143</c:v>
                </c:pt>
                <c:pt idx="4">
                  <c:v>23.647348192771084</c:v>
                </c:pt>
                <c:pt idx="5">
                  <c:v>22.67496222222222</c:v>
                </c:pt>
                <c:pt idx="6">
                  <c:v>22.982106451612903</c:v>
                </c:pt>
                <c:pt idx="7">
                  <c:v>23.889441379310341</c:v>
                </c:pt>
                <c:pt idx="8">
                  <c:v>21.254476923076922</c:v>
                </c:pt>
                <c:pt idx="9">
                  <c:v>21.802210256410262</c:v>
                </c:pt>
                <c:pt idx="10">
                  <c:v>21.235443103448279</c:v>
                </c:pt>
                <c:pt idx="11">
                  <c:v>21.851920833333335</c:v>
                </c:pt>
                <c:pt idx="12">
                  <c:v>21.95695454545454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中古屋</c:v>
                </c:pt>
              </c:strCache>
            </c:strRef>
          </c:tx>
          <c:marker>
            <c:symbol val="circle"/>
            <c:size val="7"/>
          </c:marker>
          <c:dLbls>
            <c:dLbl>
              <c:idx val="4"/>
              <c:layout>
                <c:manualLayout>
                  <c:x val="-4.8487907325432004E-2"/>
                  <c:y val="6.9521155583192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0923975638933333E-2"/>
                  <c:y val="6.9521155583192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solidFill>
                      <a:srgbClr val="FF0000"/>
                    </a:solidFill>
                    <a:latin typeface="+mn-lt"/>
                    <a:ea typeface="微軟正黑體" pitchFamily="34" charset="-120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Sheet1!$C$2:$C$14</c:f>
              <c:numCache>
                <c:formatCode>0.00_ </c:formatCode>
                <c:ptCount val="13"/>
                <c:pt idx="0">
                  <c:v>18.35700877192982</c:v>
                </c:pt>
                <c:pt idx="1">
                  <c:v>19.702639024390237</c:v>
                </c:pt>
                <c:pt idx="2">
                  <c:v>18.989027631578942</c:v>
                </c:pt>
                <c:pt idx="3">
                  <c:v>19.094694594594589</c:v>
                </c:pt>
                <c:pt idx="4">
                  <c:v>18.666819480519475</c:v>
                </c:pt>
                <c:pt idx="5">
                  <c:v>19.397243589743592</c:v>
                </c:pt>
                <c:pt idx="6">
                  <c:v>18.417558064516129</c:v>
                </c:pt>
                <c:pt idx="7">
                  <c:v>18.939672222222228</c:v>
                </c:pt>
                <c:pt idx="8">
                  <c:v>19.723961194029851</c:v>
                </c:pt>
                <c:pt idx="9">
                  <c:v>18.768532911392406</c:v>
                </c:pt>
                <c:pt idx="10">
                  <c:v>18.38343452380953</c:v>
                </c:pt>
                <c:pt idx="11">
                  <c:v>18.39224875</c:v>
                </c:pt>
                <c:pt idx="12">
                  <c:v>19.364856249999999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061696"/>
        <c:axId val="136063232"/>
      </c:lineChart>
      <c:dateAx>
        <c:axId val="13606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60000"/>
          <a:lstStyle/>
          <a:p>
            <a:pPr>
              <a:defRPr/>
            </a:pPr>
            <a:endParaRPr lang="zh-TW"/>
          </a:p>
        </c:txPr>
        <c:crossAx val="136063232"/>
        <c:crosses val="autoZero"/>
        <c:auto val="0"/>
        <c:lblOffset val="100"/>
        <c:baseTimeUnit val="days"/>
      </c:dateAx>
      <c:valAx>
        <c:axId val="136063232"/>
        <c:scaling>
          <c:orientation val="minMax"/>
          <c:max val="30"/>
          <c:min val="15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0_ 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微軟正黑體" pitchFamily="34" charset="-120"/>
                <a:ea typeface="微軟正黑體" pitchFamily="34" charset="-120"/>
              </a:defRPr>
            </a:pPr>
            <a:endParaRPr lang="zh-TW"/>
          </a:p>
        </c:txPr>
        <c:crossAx val="136061696"/>
        <c:crossesAt val="1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82512850792686154"/>
          <c:y val="5.8072612502877284E-2"/>
          <c:w val="0.1461756087005546"/>
          <c:h val="0.18897432403949718"/>
        </c:manualLayout>
      </c:layout>
      <c:overlay val="0"/>
      <c:txPr>
        <a:bodyPr/>
        <a:lstStyle/>
        <a:p>
          <a:pPr>
            <a:defRPr>
              <a:latin typeface="微軟正黑體" pitchFamily="34" charset="-120"/>
              <a:ea typeface="微軟正黑體" pitchFamily="34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82879937841706"/>
          <c:y val="4.5830834613165623E-2"/>
          <c:w val="0.86524043700315734"/>
          <c:h val="0.8358066705076500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土地筆數</c:v>
                </c:pt>
              </c:strCache>
            </c:strRef>
          </c:tx>
          <c:spPr>
            <a:solidFill>
              <a:srgbClr val="CCFF99"/>
            </a:solidFill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6.042798214622226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326689729497824E-3"/>
                  <c:y val="-5.385606199033067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5.79851262121793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366026084164887E-7"/>
                  <c:y val="-6.031107170493439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761736745398694E-17"/>
                  <c:y val="-8.929055392248837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6.85757405928994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4.206323219762615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4.801013114817090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8366026084164887E-7"/>
                  <c:y val="-7.529073296715020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8.1019753368022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-4.972250121304802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317506716455738E-3"/>
                  <c:y val="-2.321939470640967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9.9945346412586761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
</a:t>
                    </a:r>
                    <a:r>
                      <a:rPr lang="en-US" altLang="zh-TW"/>
                      <a:t>4,650 </a:t>
                    </a:r>
                    <a:endParaRPr lang="zh-TW" altLang="en-US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numFmt formatCode="#,##0_);[Red]\(#,##0\)" sourceLinked="0"/>
            <c:spPr>
              <a:noFill/>
            </c:spPr>
            <c:txPr>
              <a:bodyPr/>
              <a:lstStyle/>
              <a:p>
                <a:pPr>
                  <a:defRPr sz="900" b="1" baseline="0">
                    <a:solidFill>
                      <a:srgbClr val="002060"/>
                    </a:solidFill>
                  </a:defRPr>
                </a:pPr>
                <a:endParaRPr lang="zh-TW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工作表1!$A$2:$A$14</c:f>
              <c:strCache>
                <c:ptCount val="13"/>
                <c:pt idx="0">
                  <c:v>105/03</c:v>
                </c:pt>
                <c:pt idx="1">
                  <c:v>105/04</c:v>
                </c:pt>
                <c:pt idx="2">
                  <c:v>105/05</c:v>
                </c:pt>
                <c:pt idx="3">
                  <c:v>105/06</c:v>
                </c:pt>
                <c:pt idx="4">
                  <c:v>105/07</c:v>
                </c:pt>
                <c:pt idx="5">
                  <c:v>105/08</c:v>
                </c:pt>
                <c:pt idx="6">
                  <c:v>105/09</c:v>
                </c:pt>
                <c:pt idx="7">
                  <c:v>105/10</c:v>
                </c:pt>
                <c:pt idx="8">
                  <c:v>105/11</c:v>
                </c:pt>
                <c:pt idx="9">
                  <c:v>105/12</c:v>
                </c:pt>
                <c:pt idx="10">
                  <c:v>106/01</c:v>
                </c:pt>
                <c:pt idx="11">
                  <c:v>106/02</c:v>
                </c:pt>
                <c:pt idx="12">
                  <c:v>106/03</c:v>
                </c:pt>
              </c:strCache>
            </c:strRef>
          </c:cat>
          <c:val>
            <c:numRef>
              <c:f>工作表1!$B$2:$B$14</c:f>
              <c:numCache>
                <c:formatCode>_(* #,##0_);_(* \(#,##0\);_(* "-"??_);_(@_)</c:formatCode>
                <c:ptCount val="13"/>
                <c:pt idx="0">
                  <c:v>4284</c:v>
                </c:pt>
                <c:pt idx="1">
                  <c:v>3716</c:v>
                </c:pt>
                <c:pt idx="2">
                  <c:v>4550</c:v>
                </c:pt>
                <c:pt idx="3">
                  <c:v>4454</c:v>
                </c:pt>
                <c:pt idx="4">
                  <c:v>5077</c:v>
                </c:pt>
                <c:pt idx="5">
                  <c:v>4710</c:v>
                </c:pt>
                <c:pt idx="6">
                  <c:v>3654</c:v>
                </c:pt>
                <c:pt idx="7">
                  <c:v>3868</c:v>
                </c:pt>
                <c:pt idx="8">
                  <c:v>4608</c:v>
                </c:pt>
                <c:pt idx="9">
                  <c:v>4966</c:v>
                </c:pt>
                <c:pt idx="10">
                  <c:v>3840</c:v>
                </c:pt>
                <c:pt idx="11">
                  <c:v>2965</c:v>
                </c:pt>
                <c:pt idx="12">
                  <c:v>4650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建物棟數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1.478957960068135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80436509250436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973912161909012E-5"/>
                  <c:y val="-1.259853077095078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321179921672571E-3"/>
                  <c:y val="-1.259812199318403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324853126889403E-3"/>
                  <c:y val="-6.122673390243326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1.859530060903799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2.312455826452581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5.812002287520382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7.635151127184253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8.129363447173854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29131235541346E-5"/>
                  <c:y val="-2.135863831220565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3324853126889403E-3"/>
                  <c:y val="-2.220072051169165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3324853126889403E-3"/>
                  <c:y val="-3.1148865825647288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
 </a:t>
                    </a:r>
                    <a:r>
                      <a:rPr lang="en-US" altLang="zh-TW"/>
                      <a:t>3,116</a:t>
                    </a:r>
                    <a:endParaRPr lang="zh-TW" altLang="en-US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baseline="0">
                    <a:solidFill>
                      <a:schemeClr val="tx1"/>
                    </a:solidFill>
                  </a:defRPr>
                </a:pPr>
                <a:endParaRPr lang="zh-TW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工作表1!$A$2:$A$14</c:f>
              <c:strCache>
                <c:ptCount val="13"/>
                <c:pt idx="0">
                  <c:v>105/03</c:v>
                </c:pt>
                <c:pt idx="1">
                  <c:v>105/04</c:v>
                </c:pt>
                <c:pt idx="2">
                  <c:v>105/05</c:v>
                </c:pt>
                <c:pt idx="3">
                  <c:v>105/06</c:v>
                </c:pt>
                <c:pt idx="4">
                  <c:v>105/07</c:v>
                </c:pt>
                <c:pt idx="5">
                  <c:v>105/08</c:v>
                </c:pt>
                <c:pt idx="6">
                  <c:v>105/09</c:v>
                </c:pt>
                <c:pt idx="7">
                  <c:v>105/10</c:v>
                </c:pt>
                <c:pt idx="8">
                  <c:v>105/11</c:v>
                </c:pt>
                <c:pt idx="9">
                  <c:v>105/12</c:v>
                </c:pt>
                <c:pt idx="10">
                  <c:v>106/01</c:v>
                </c:pt>
                <c:pt idx="11">
                  <c:v>106/02</c:v>
                </c:pt>
                <c:pt idx="12">
                  <c:v>106/03</c:v>
                </c:pt>
              </c:strCache>
            </c:strRef>
          </c:cat>
          <c:val>
            <c:numRef>
              <c:f>工作表1!$C$2:$C$14</c:f>
              <c:numCache>
                <c:formatCode>_(* #,##0_);_(* \(#,##0\);_(* "-"??_);_(@_)</c:formatCode>
                <c:ptCount val="13"/>
                <c:pt idx="0">
                  <c:v>2929</c:v>
                </c:pt>
                <c:pt idx="1">
                  <c:v>3638</c:v>
                </c:pt>
                <c:pt idx="2">
                  <c:v>4425</c:v>
                </c:pt>
                <c:pt idx="3">
                  <c:v>3990</c:v>
                </c:pt>
                <c:pt idx="4">
                  <c:v>4030</c:v>
                </c:pt>
                <c:pt idx="5">
                  <c:v>2893</c:v>
                </c:pt>
                <c:pt idx="6">
                  <c:v>2530</c:v>
                </c:pt>
                <c:pt idx="7">
                  <c:v>3150</c:v>
                </c:pt>
                <c:pt idx="8">
                  <c:v>3385</c:v>
                </c:pt>
                <c:pt idx="9">
                  <c:v>3283</c:v>
                </c:pt>
                <c:pt idx="10">
                  <c:v>2516</c:v>
                </c:pt>
                <c:pt idx="11">
                  <c:v>1998</c:v>
                </c:pt>
                <c:pt idx="12">
                  <c:v>3116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6061312"/>
        <c:axId val="266062848"/>
      </c:barChart>
      <c:catAx>
        <c:axId val="26606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zh-TW"/>
          </a:p>
        </c:txPr>
        <c:crossAx val="266062848"/>
        <c:crosses val="autoZero"/>
        <c:auto val="1"/>
        <c:lblAlgn val="ctr"/>
        <c:lblOffset val="100"/>
        <c:noMultiLvlLbl val="0"/>
      </c:catAx>
      <c:valAx>
        <c:axId val="266062848"/>
        <c:scaling>
          <c:orientation val="minMax"/>
          <c:max val="1400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_(* #,##0_);_(* \(#,##0\);_(* &quot;-&quot;??_);_(@_)" sourceLinked="1"/>
        <c:majorTickMark val="out"/>
        <c:minorTickMark val="none"/>
        <c:tickLblPos val="nextTo"/>
        <c:crossAx val="266061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778227853859584"/>
          <c:y val="2.0319698108275885E-2"/>
          <c:w val="0.30301725623872261"/>
          <c:h val="0.1252294989758774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altLang="zh-TW" sz="1000" b="0"/>
              <a:t>(</a:t>
            </a:r>
            <a:r>
              <a:rPr lang="zh-TW" altLang="en-US" sz="1000" b="0"/>
              <a:t>筆棟數</a:t>
            </a:r>
            <a:r>
              <a:rPr lang="en-US" altLang="zh-TW" sz="1000" b="0"/>
              <a:t>)</a:t>
            </a:r>
            <a:endParaRPr lang="zh-TW" altLang="en-US" sz="1000" b="0"/>
          </a:p>
        </c:rich>
      </c:tx>
      <c:layout>
        <c:manualLayout>
          <c:xMode val="edge"/>
          <c:yMode val="edge"/>
          <c:x val="9.5256477256453267E-2"/>
          <c:y val="3.436778590829456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9546699261871568E-2"/>
          <c:y val="2.5190999731844667E-2"/>
          <c:w val="0.89223898481507458"/>
          <c:h val="0.791519140602780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筆棟數</c:v>
                </c:pt>
              </c:strCache>
            </c:strRef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16200000" scaled="0"/>
              <a:tileRect/>
            </a:gra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2.4091493794040305E-3"/>
                  <c:y val="-0.17610114125413809"/>
                </c:manualLayout>
              </c:layout>
              <c:numFmt formatCode="#,##0_);[Red]\(#,##0\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zh-TW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264570060371033E-3"/>
                  <c:y val="-0.1340900181286345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17813437961273E-6"/>
                  <c:y val="-0.3029953172589379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711687542925661E-5"/>
                  <c:y val="-0.2537785612153743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4102877394825014E-3"/>
                  <c:y val="-0.361568547895977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431669936289785E-6"/>
                  <c:y val="-0.271092210091645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6993447463345142E-7"/>
                  <c:y val="-0.268615954067277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8972667974515912E-7"/>
                  <c:y val="-0.2437833352066385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0.237556186741402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6918003923547738E-7"/>
                  <c:y val="-0.262063531288832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4091258797716629E-3"/>
                  <c:y val="-0.2620910626589794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8167809453700996E-3"/>
                  <c:y val="-0.23217341141426451"/>
                </c:manualLayout>
              </c:layout>
              <c:numFmt formatCode="#,##0_);[Red]\(#,##0\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zh-TW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8192473922067866E-3"/>
                  <c:y val="-0.12754937595435767"/>
                </c:manualLayout>
              </c:layout>
              <c:numFmt formatCode="#,##0_);[Red]\(#,##0\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zh-TW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_);[Red]\(#,##0\)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工作表1!$B$2:$B$14</c:f>
              <c:numCache>
                <c:formatCode>General</c:formatCode>
                <c:ptCount val="13"/>
                <c:pt idx="0">
                  <c:v>4302</c:v>
                </c:pt>
                <c:pt idx="1">
                  <c:v>2941</c:v>
                </c:pt>
                <c:pt idx="2">
                  <c:v>8198</c:v>
                </c:pt>
                <c:pt idx="3">
                  <c:v>6514</c:v>
                </c:pt>
                <c:pt idx="4">
                  <c:v>9857</c:v>
                </c:pt>
                <c:pt idx="5">
                  <c:v>6915</c:v>
                </c:pt>
                <c:pt idx="6">
                  <c:v>6852</c:v>
                </c:pt>
                <c:pt idx="7">
                  <c:v>5576</c:v>
                </c:pt>
                <c:pt idx="8">
                  <c:v>5951</c:v>
                </c:pt>
                <c:pt idx="9">
                  <c:v>6924</c:v>
                </c:pt>
                <c:pt idx="10">
                  <c:v>6706</c:v>
                </c:pt>
                <c:pt idx="11">
                  <c:v>5861</c:v>
                </c:pt>
                <c:pt idx="12">
                  <c:v>2581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5389184"/>
        <c:axId val="265390720"/>
      </c:barChart>
      <c:catAx>
        <c:axId val="26538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020000"/>
          <a:lstStyle/>
          <a:p>
            <a:pPr>
              <a:defRPr/>
            </a:pPr>
            <a:endParaRPr lang="zh-TW"/>
          </a:p>
        </c:txPr>
        <c:crossAx val="265390720"/>
        <c:crosses val="autoZero"/>
        <c:auto val="1"/>
        <c:lblAlgn val="ctr"/>
        <c:lblOffset val="100"/>
        <c:tickLblSkip val="1"/>
        <c:noMultiLvlLbl val="0"/>
      </c:catAx>
      <c:valAx>
        <c:axId val="265390720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_);[Red]\(#,##0\)" sourceLinked="0"/>
        <c:majorTickMark val="out"/>
        <c:minorTickMark val="none"/>
        <c:tickLblPos val="nextTo"/>
        <c:crossAx val="265389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altLang="zh-TW" sz="1000" b="0"/>
              <a:t>(</a:t>
            </a:r>
            <a:r>
              <a:rPr lang="zh-TW" altLang="en-US" sz="1000" b="0"/>
              <a:t>億元</a:t>
            </a:r>
            <a:r>
              <a:rPr lang="en-US" altLang="zh-TW" sz="1000" b="0"/>
              <a:t>)</a:t>
            </a:r>
            <a:endParaRPr lang="zh-TW" altLang="en-US" sz="1000" b="0"/>
          </a:p>
        </c:rich>
      </c:tx>
      <c:layout>
        <c:manualLayout>
          <c:xMode val="edge"/>
          <c:yMode val="edge"/>
          <c:x val="9.7490285419450692E-2"/>
          <c:y val="3.46754565087029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9546699261871568E-2"/>
          <c:y val="2.5190999731844663E-2"/>
          <c:w val="0.89223898481507458"/>
          <c:h val="0.791519140602780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總金額(億)</c:v>
                </c:pt>
              </c:strCache>
            </c:strRef>
          </c:tx>
          <c:spPr>
            <a:gradFill flip="none" rotWithShape="1">
              <a:gsLst>
                <a:gs pos="100000">
                  <a:srgbClr val="FF0000"/>
                </a:gs>
                <a:gs pos="0">
                  <a:srgbClr val="FFFF00"/>
                </a:gs>
                <a:gs pos="1000">
                  <a:srgbClr val="FFFF00"/>
                </a:gs>
                <a:gs pos="0">
                  <a:srgbClr val="0087E6"/>
                </a:gs>
                <a:gs pos="100000">
                  <a:srgbClr val="005CBF"/>
                </a:gs>
              </a:gsLst>
              <a:lin ang="2700000" scaled="1"/>
              <a:tileRect/>
            </a:gra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4.8160220386511193E-3"/>
                  <c:y val="-0.14936953159665531"/>
                </c:manualLayout>
              </c:layout>
              <c:numFmt formatCode="#,##0.00_);[Red]\(#,##0.00\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zh-TW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2304253107602053E-3"/>
                  <c:y val="-0.150710620127707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125644596394435E-3"/>
                  <c:y val="-0.224524842965451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140822730774046E-3"/>
                  <c:y val="-0.21210110835706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119952796001639E-3"/>
                  <c:y val="-0.2860282624982425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8459001961773869E-6"/>
                  <c:y val="-0.2183848400908742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412185006279953E-3"/>
                  <c:y val="-0.2193137906469717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0869934771967505E-6"/>
                  <c:y val="-0.171378453751616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4087699260445404E-3"/>
                  <c:y val="-0.2119601209202250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4093391060837758E-3"/>
                  <c:y val="-0.21239091586613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818298758808061E-3"/>
                  <c:y val="-0.2259891541497889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4082007460053049E-3"/>
                  <c:y val="-0.21028432858062074"/>
                </c:manualLayout>
              </c:layout>
              <c:numFmt formatCode="#,##0.00_);[Red]\(#,##0.00\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zh-TW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-9.2968290750558374E-2"/>
                </c:manualLayout>
              </c:layout>
              <c:numFmt formatCode="#,##0.00_);[Red]\(#,##0.00\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zh-TW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_);[Red]\(#,##0.00\)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工作表1!$B$2:$B$14</c:f>
              <c:numCache>
                <c:formatCode>_(* #,##0.00_);_(* \(#,##0.00\);_(* "-"??_);_(@_)</c:formatCode>
                <c:ptCount val="13"/>
                <c:pt idx="0">
                  <c:v>188.67645351999994</c:v>
                </c:pt>
                <c:pt idx="1">
                  <c:v>184.83595120999991</c:v>
                </c:pt>
                <c:pt idx="2">
                  <c:v>328.45052461999978</c:v>
                </c:pt>
                <c:pt idx="3">
                  <c:v>266.68351903000001</c:v>
                </c:pt>
                <c:pt idx="4">
                  <c:v>441.59264629999979</c:v>
                </c:pt>
                <c:pt idx="5">
                  <c:v>320.30602492000014</c:v>
                </c:pt>
                <c:pt idx="6">
                  <c:v>316.58974489000002</c:v>
                </c:pt>
                <c:pt idx="7">
                  <c:v>232.69589704000018</c:v>
                </c:pt>
                <c:pt idx="8">
                  <c:v>271.31509766000022</c:v>
                </c:pt>
                <c:pt idx="9">
                  <c:v>274.88184256999989</c:v>
                </c:pt>
                <c:pt idx="10">
                  <c:v>343.46858819000033</c:v>
                </c:pt>
                <c:pt idx="11">
                  <c:v>278.12067545999997</c:v>
                </c:pt>
                <c:pt idx="12">
                  <c:v>97.451577610000015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3837568"/>
        <c:axId val="133839104"/>
      </c:barChart>
      <c:catAx>
        <c:axId val="13383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020000"/>
          <a:lstStyle/>
          <a:p>
            <a:pPr>
              <a:defRPr/>
            </a:pPr>
            <a:endParaRPr lang="zh-TW"/>
          </a:p>
        </c:txPr>
        <c:crossAx val="133839104"/>
        <c:crosses val="autoZero"/>
        <c:auto val="1"/>
        <c:lblAlgn val="ctr"/>
        <c:lblOffset val="100"/>
        <c:tickLblSkip val="1"/>
        <c:noMultiLvlLbl val="0"/>
      </c:catAx>
      <c:valAx>
        <c:axId val="133839104"/>
        <c:scaling>
          <c:orientation val="minMax"/>
          <c:max val="7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_);[Red]\(#,##0\)" sourceLinked="0"/>
        <c:majorTickMark val="out"/>
        <c:minorTickMark val="none"/>
        <c:tickLblPos val="nextTo"/>
        <c:crossAx val="133837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rgbClr val="C00000"/>
                </a:solidFill>
              </a:defRPr>
            </a:pPr>
            <a:r>
              <a:rPr lang="zh-TW" altLang="en-US">
                <a:solidFill>
                  <a:srgbClr val="C00000"/>
                </a:solidFill>
              </a:rPr>
              <a:t>交易筆棟數</a:t>
            </a:r>
            <a:r>
              <a:rPr lang="en-US" altLang="zh-TW">
                <a:solidFill>
                  <a:srgbClr val="C00000"/>
                </a:solidFill>
              </a:rPr>
              <a:t>(%)</a:t>
            </a:r>
            <a:endParaRPr lang="zh-TW" altLang="en-US">
              <a:solidFill>
                <a:srgbClr val="C00000"/>
              </a:solidFill>
            </a:endParaRPr>
          </a:p>
        </c:rich>
      </c:tx>
      <c:layout>
        <c:manualLayout>
          <c:xMode val="edge"/>
          <c:yMode val="edge"/>
          <c:x val="0.83234124593324499"/>
          <c:y val="2.8172880429276292E-2"/>
        </c:manualLayout>
      </c:layout>
      <c:overlay val="0"/>
    </c:title>
    <c:autoTitleDeleted val="0"/>
    <c:view3D>
      <c:rotX val="3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699827225176404E-2"/>
          <c:y val="0.15574493465083442"/>
          <c:w val="0.77542214079487803"/>
          <c:h val="0.76797823797154152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交易筆棟數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rgbClr val="0000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B2DE82"/>
              </a:solidFill>
            </c:spPr>
          </c:dPt>
          <c:dPt>
            <c:idx val="3"/>
            <c:bubble3D val="0"/>
            <c:spPr>
              <a:solidFill>
                <a:srgbClr val="9900CC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006600"/>
              </a:solidFill>
            </c:spPr>
          </c:dPt>
          <c:dPt>
            <c:idx val="6"/>
            <c:bubble3D val="0"/>
            <c:spPr>
              <a:solidFill>
                <a:schemeClr val="tx1"/>
              </a:solidFill>
            </c:spPr>
          </c:dPt>
          <c:dPt>
            <c:idx val="7"/>
            <c:bubble3D val="0"/>
            <c:spPr>
              <a:solidFill>
                <a:srgbClr val="FFFFCC"/>
              </a:solidFill>
            </c:spPr>
          </c:dPt>
          <c:dPt>
            <c:idx val="8"/>
            <c:bubble3D val="0"/>
            <c:spPr>
              <a:solidFill>
                <a:srgbClr val="996633"/>
              </a:solidFill>
            </c:spPr>
          </c:dPt>
          <c:dPt>
            <c:idx val="9"/>
            <c:bubble3D val="0"/>
            <c:spPr>
              <a:solidFill>
                <a:srgbClr val="FF9933"/>
              </a:solidFill>
            </c:spPr>
          </c:dPt>
          <c:dPt>
            <c:idx val="10"/>
            <c:bubble3D val="0"/>
            <c:spPr>
              <a:solidFill>
                <a:srgbClr val="CCFFFF"/>
              </a:solidFill>
            </c:spPr>
          </c:dPt>
          <c:dPt>
            <c:idx val="11"/>
            <c:bubble3D val="0"/>
            <c:spPr>
              <a:solidFill>
                <a:srgbClr val="FF00FF"/>
              </a:solidFill>
            </c:spPr>
          </c:dPt>
          <c:dPt>
            <c:idx val="12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dLbl>
              <c:idx val="0"/>
              <c:layout>
                <c:manualLayout>
                  <c:x val="-0.23710793798842061"/>
                  <c:y val="-4.0565398170635597E-3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013647412149851E-2"/>
                  <c:y val="-4.0593124479710412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884809928560573E-2"/>
                  <c:y val="-8.0488154566986478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409480270119461E-3"/>
                  <c:y val="-0.186330066662148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867563969855015E-3"/>
                  <c:y val="-7.04230252354653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3239723722072369E-2"/>
                  <c:y val="-7.90964858453164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885359829720736E-2"/>
                  <c:y val="-7.7494155182532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7796083475196476E-2"/>
                  <c:y val="-0.167932255058145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9.8230102958620807E-2"/>
                  <c:y val="-0.1988615060654892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884026077732257"/>
                  <c:y val="-0.1235995506931659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17834030201550174"/>
                  <c:y val="-3.71887104006268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5306957578609923"/>
                  <c:y val="8.088845048775314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4817599691833995E-3"/>
                  <c:y val="5.75122392293838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工作表1!$A$2:$A$14</c:f>
              <c:strCache>
                <c:ptCount val="13"/>
                <c:pt idx="0">
                  <c:v>中壢區</c:v>
                </c:pt>
                <c:pt idx="1">
                  <c:v>桃園區</c:v>
                </c:pt>
                <c:pt idx="2">
                  <c:v>龜山區</c:v>
                </c:pt>
                <c:pt idx="3">
                  <c:v>楊梅區</c:v>
                </c:pt>
                <c:pt idx="4">
                  <c:v>平鎮區</c:v>
                </c:pt>
                <c:pt idx="5">
                  <c:v>蘆竹區</c:v>
                </c:pt>
                <c:pt idx="6">
                  <c:v>八德區</c:v>
                </c:pt>
                <c:pt idx="7">
                  <c:v>龍潭區</c:v>
                </c:pt>
                <c:pt idx="8">
                  <c:v>觀音區</c:v>
                </c:pt>
                <c:pt idx="9">
                  <c:v>大溪區</c:v>
                </c:pt>
                <c:pt idx="10">
                  <c:v>大園區</c:v>
                </c:pt>
                <c:pt idx="11">
                  <c:v>新屋區</c:v>
                </c:pt>
                <c:pt idx="12">
                  <c:v>復興區</c:v>
                </c:pt>
              </c:strCache>
            </c:strRef>
          </c:cat>
          <c:val>
            <c:numRef>
              <c:f>工作表1!$B$2:$B$14</c:f>
              <c:numCache>
                <c:formatCode>_(* #,##0_);_(* \(#,##0\);_(* "-"??_);_(@_)</c:formatCode>
                <c:ptCount val="13"/>
                <c:pt idx="0">
                  <c:v>15636</c:v>
                </c:pt>
                <c:pt idx="1">
                  <c:v>13921</c:v>
                </c:pt>
                <c:pt idx="2">
                  <c:v>9716</c:v>
                </c:pt>
                <c:pt idx="3">
                  <c:v>7954</c:v>
                </c:pt>
                <c:pt idx="4">
                  <c:v>6321</c:v>
                </c:pt>
                <c:pt idx="5">
                  <c:v>6233</c:v>
                </c:pt>
                <c:pt idx="6">
                  <c:v>5771</c:v>
                </c:pt>
                <c:pt idx="7">
                  <c:v>4548</c:v>
                </c:pt>
                <c:pt idx="8">
                  <c:v>2782</c:v>
                </c:pt>
                <c:pt idx="9">
                  <c:v>2394</c:v>
                </c:pt>
                <c:pt idx="10">
                  <c:v>2274</c:v>
                </c:pt>
                <c:pt idx="11">
                  <c:v>1460</c:v>
                </c:pt>
                <c:pt idx="12">
                  <c:v>168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rgbClr val="C00000"/>
                </a:solidFill>
              </a:defRPr>
            </a:pPr>
            <a:r>
              <a:rPr lang="zh-TW" altLang="en-US">
                <a:solidFill>
                  <a:srgbClr val="C00000"/>
                </a:solidFill>
              </a:rPr>
              <a:t>成交總金額</a:t>
            </a:r>
            <a:r>
              <a:rPr lang="en-US" altLang="zh-TW">
                <a:solidFill>
                  <a:srgbClr val="C00000"/>
                </a:solidFill>
              </a:rPr>
              <a:t>(</a:t>
            </a:r>
            <a:r>
              <a:rPr lang="zh-TW" altLang="en-US">
                <a:solidFill>
                  <a:srgbClr val="C00000"/>
                </a:solidFill>
              </a:rPr>
              <a:t>億元</a:t>
            </a:r>
            <a:r>
              <a:rPr lang="en-US" altLang="zh-TW">
                <a:solidFill>
                  <a:srgbClr val="C00000"/>
                </a:solidFill>
              </a:rPr>
              <a:t>)</a:t>
            </a:r>
            <a:endParaRPr lang="zh-TW" altLang="en-US">
              <a:solidFill>
                <a:srgbClr val="C00000"/>
              </a:solidFill>
            </a:endParaRPr>
          </a:p>
        </c:rich>
      </c:tx>
      <c:layout>
        <c:manualLayout>
          <c:xMode val="edge"/>
          <c:yMode val="edge"/>
          <c:x val="0.82501652073742171"/>
          <c:y val="3.8951431143940188E-3"/>
        </c:manualLayout>
      </c:layout>
      <c:overlay val="0"/>
    </c:title>
    <c:autoTitleDeleted val="0"/>
    <c:view3D>
      <c:rotX val="3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879879429509748E-2"/>
          <c:y val="0.1606004821138072"/>
          <c:w val="0.78988883463620063"/>
          <c:h val="0.78254488036045744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交易總金額</c:v>
                </c:pt>
              </c:strCache>
            </c:strRef>
          </c:tx>
          <c:explosion val="4"/>
          <c:dPt>
            <c:idx val="0"/>
            <c:bubble3D val="0"/>
            <c:explosion val="0"/>
            <c:spPr>
              <a:solidFill>
                <a:srgbClr val="0000FF"/>
              </a:solidFill>
            </c:spPr>
          </c:dPt>
          <c:dPt>
            <c:idx val="1"/>
            <c:bubble3D val="0"/>
            <c:explosion val="0"/>
            <c:spPr>
              <a:solidFill>
                <a:srgbClr val="FF0000"/>
              </a:solidFill>
            </c:spPr>
          </c:dPt>
          <c:dPt>
            <c:idx val="2"/>
            <c:bubble3D val="0"/>
            <c:explosion val="0"/>
            <c:spPr>
              <a:solidFill>
                <a:srgbClr val="B2DE82"/>
              </a:solidFill>
            </c:spPr>
          </c:dPt>
          <c:dPt>
            <c:idx val="3"/>
            <c:bubble3D val="0"/>
            <c:explosion val="0"/>
            <c:spPr>
              <a:solidFill>
                <a:srgbClr val="9900CC"/>
              </a:solidFill>
            </c:spPr>
          </c:dPt>
          <c:dPt>
            <c:idx val="4"/>
            <c:bubble3D val="0"/>
            <c:explosion val="0"/>
            <c:spPr>
              <a:solidFill>
                <a:srgbClr val="FFFF00"/>
              </a:solidFill>
            </c:spPr>
          </c:dPt>
          <c:dPt>
            <c:idx val="5"/>
            <c:bubble3D val="0"/>
            <c:explosion val="0"/>
            <c:spPr>
              <a:solidFill>
                <a:srgbClr val="006600"/>
              </a:solidFill>
            </c:spPr>
          </c:dPt>
          <c:dPt>
            <c:idx val="6"/>
            <c:bubble3D val="0"/>
            <c:explosion val="0"/>
            <c:spPr>
              <a:solidFill>
                <a:schemeClr val="tx1"/>
              </a:solidFill>
            </c:spPr>
          </c:dPt>
          <c:dPt>
            <c:idx val="7"/>
            <c:bubble3D val="0"/>
            <c:explosion val="0"/>
            <c:spPr>
              <a:solidFill>
                <a:srgbClr val="FFFFCC"/>
              </a:solidFill>
            </c:spPr>
          </c:dPt>
          <c:dPt>
            <c:idx val="8"/>
            <c:bubble3D val="0"/>
            <c:explosion val="0"/>
            <c:spPr>
              <a:solidFill>
                <a:srgbClr val="996633"/>
              </a:solidFill>
            </c:spPr>
          </c:dPt>
          <c:dPt>
            <c:idx val="9"/>
            <c:bubble3D val="0"/>
            <c:explosion val="0"/>
            <c:spPr>
              <a:solidFill>
                <a:srgbClr val="FF9933"/>
              </a:solidFill>
            </c:spPr>
          </c:dPt>
          <c:dPt>
            <c:idx val="10"/>
            <c:bubble3D val="0"/>
            <c:explosion val="0"/>
            <c:spPr>
              <a:solidFill>
                <a:srgbClr val="CCFFFF"/>
              </a:solidFill>
            </c:spPr>
          </c:dPt>
          <c:dPt>
            <c:idx val="11"/>
            <c:bubble3D val="0"/>
            <c:explosion val="0"/>
            <c:spPr>
              <a:solidFill>
                <a:srgbClr val="FF00FF"/>
              </a:solidFill>
            </c:spPr>
          </c:dPt>
          <c:dPt>
            <c:idx val="12"/>
            <c:bubble3D val="0"/>
            <c:explosion val="0"/>
            <c:spPr>
              <a:solidFill>
                <a:schemeClr val="bg1">
                  <a:lumMod val="85000"/>
                </a:schemeClr>
              </a:solidFill>
            </c:spPr>
          </c:dPt>
          <c:dLbls>
            <c:dLbl>
              <c:idx val="0"/>
              <c:layout>
                <c:manualLayout>
                  <c:x val="-0.23592769747851355"/>
                  <c:y val="-2.0274778107216298E-3"/>
                </c:manualLayout>
              </c:layout>
              <c:numFmt formatCode="#,##0.00_);[Red]\(#,##0.00\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zh-TW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013647412149851E-2"/>
                  <c:y val="-4.0593124479710412E-2"/>
                </c:manualLayout>
              </c:layout>
              <c:numFmt formatCode="#,##0.00_);[Red]\(#,##0.00\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zh-TW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594452635022064E-2"/>
                  <c:y val="-3.1353072854239952E-2"/>
                </c:manualLayout>
              </c:layout>
              <c:numFmt formatCode="#,##0.00_);[Red]\(#,##0.00\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zh-TW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094052060470165"/>
                  <c:y val="-3.15300900570242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263146812754481"/>
                  <c:y val="-0.2282731519354123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1302554670130683E-2"/>
                  <c:y val="-0.1474262730996939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0559050377582765E-2"/>
                  <c:y val="-0.1697491746525129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0219230422807626"/>
                  <c:y val="-0.2553517117716481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0714056137323724"/>
                  <c:y val="-0.1686247522045901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0.12474166496797896"/>
                  <c:y val="-7.91308952367844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17941245905369879"/>
                  <c:y val="7.404901044325033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240297325868567"/>
                  <c:y val="7.08042048276391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0861448610314405E-3"/>
                  <c:y val="5.45989107515971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#,##0.00_);[Red]\(#,##0.00\)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TW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工作表1!$A$2:$A$14</c:f>
              <c:strCache>
                <c:ptCount val="13"/>
                <c:pt idx="0">
                  <c:v>中壢區</c:v>
                </c:pt>
                <c:pt idx="1">
                  <c:v>桃園區</c:v>
                </c:pt>
                <c:pt idx="2">
                  <c:v>龜山區</c:v>
                </c:pt>
                <c:pt idx="3">
                  <c:v>蘆竹區</c:v>
                </c:pt>
                <c:pt idx="4">
                  <c:v>八德區</c:v>
                </c:pt>
                <c:pt idx="5">
                  <c:v>平鎮區</c:v>
                </c:pt>
                <c:pt idx="6">
                  <c:v>楊梅區</c:v>
                </c:pt>
                <c:pt idx="7">
                  <c:v>龍潭區</c:v>
                </c:pt>
                <c:pt idx="8">
                  <c:v>大園區</c:v>
                </c:pt>
                <c:pt idx="9">
                  <c:v>觀音區</c:v>
                </c:pt>
                <c:pt idx="10">
                  <c:v>大溪區</c:v>
                </c:pt>
                <c:pt idx="11">
                  <c:v>新屋區</c:v>
                </c:pt>
                <c:pt idx="12">
                  <c:v>復興區</c:v>
                </c:pt>
              </c:strCache>
            </c:strRef>
          </c:cat>
          <c:val>
            <c:numRef>
              <c:f>工作表1!$B$2:$B$14</c:f>
              <c:numCache>
                <c:formatCode>_(* #,##0.00_);_(* \(#,##0.00\);_(* "-"??_);_(@_)</c:formatCode>
                <c:ptCount val="13"/>
                <c:pt idx="0">
                  <c:v>730.89923754999961</c:v>
                </c:pt>
                <c:pt idx="1">
                  <c:v>722.42047250999963</c:v>
                </c:pt>
                <c:pt idx="2">
                  <c:v>548.0686854700001</c:v>
                </c:pt>
                <c:pt idx="3">
                  <c:v>296.57453418</c:v>
                </c:pt>
                <c:pt idx="4">
                  <c:v>242.42651118999999</c:v>
                </c:pt>
                <c:pt idx="5">
                  <c:v>227.80944402000029</c:v>
                </c:pt>
                <c:pt idx="6">
                  <c:v>227.01540542000015</c:v>
                </c:pt>
                <c:pt idx="7">
                  <c:v>155.6014102799999</c:v>
                </c:pt>
                <c:pt idx="8">
                  <c:v>135.81822888000008</c:v>
                </c:pt>
                <c:pt idx="9">
                  <c:v>117.39432833000002</c:v>
                </c:pt>
                <c:pt idx="10">
                  <c:v>78.455586429999968</c:v>
                </c:pt>
                <c:pt idx="11">
                  <c:v>60.78363892000008</c:v>
                </c:pt>
                <c:pt idx="12">
                  <c:v>1.8010598400000002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544662340305727E-2"/>
          <c:y val="4.5893351872682592E-2"/>
          <c:w val="0.9036488370859439"/>
          <c:h val="0.83368908313544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公寓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1.2028988337508643E-2"/>
                  <c:y val="2.2224837050306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022921134513883E-2"/>
                  <c:y val="2.2224837050306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61834301321101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025571314549371E-2"/>
                  <c:y val="5.6184088941372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6183430132110188E-3"/>
                  <c:y val="5.6184820631066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6183430132110188E-3"/>
                  <c:y val="5.6184820631066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2025571314549371E-2"/>
                  <c:y val="5.6184088941372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2025571314549347E-2"/>
                  <c:y val="-9.64148819846918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9.6201161209818076E-3"/>
                  <c:y val="1.1208575707751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2025571314549371E-2"/>
                  <c:y val="5.6184088941372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9.6201161209818076E-3"/>
                  <c:y val="1.1222696748012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202197260205475E-2"/>
                  <c:y val="1.6855226682411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9.61834301321101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solidFill>
                      <a:srgbClr val="0070C0"/>
                    </a:solidFill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工作表1!$B$2:$B$14</c:f>
              <c:numCache>
                <c:formatCode>_-* #,##0_-;\-* #,##0_-;_-* "-"??_-;_-@_-</c:formatCode>
                <c:ptCount val="13"/>
                <c:pt idx="0">
                  <c:v>293.66133333333329</c:v>
                </c:pt>
                <c:pt idx="1">
                  <c:v>321.54673913043479</c:v>
                </c:pt>
                <c:pt idx="2">
                  <c:v>383.32654867256639</c:v>
                </c:pt>
                <c:pt idx="3">
                  <c:v>316.14344262295083</c:v>
                </c:pt>
                <c:pt idx="4">
                  <c:v>331.81845615384611</c:v>
                </c:pt>
                <c:pt idx="5">
                  <c:v>324.12321428571431</c:v>
                </c:pt>
                <c:pt idx="6">
                  <c:v>321.71374632352939</c:v>
                </c:pt>
                <c:pt idx="7">
                  <c:v>390.38630136986302</c:v>
                </c:pt>
                <c:pt idx="8">
                  <c:v>327.40941176470585</c:v>
                </c:pt>
                <c:pt idx="9">
                  <c:v>312.07851239669424</c:v>
                </c:pt>
                <c:pt idx="10">
                  <c:v>336.86923076923074</c:v>
                </c:pt>
                <c:pt idx="11">
                  <c:v>336.49157500000001</c:v>
                </c:pt>
                <c:pt idx="12">
                  <c:v>291.72599302325585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大樓</c:v>
                </c:pt>
              </c:strCache>
            </c:strRef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1.2036452573348561E-2"/>
                  <c:y val="2.0766648787999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842176313298384E-2"/>
                  <c:y val="2.6782268935336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032969939473958E-2"/>
                  <c:y val="2.1695757577855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437478326339301E-2"/>
                  <c:y val="1.0709634020356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02026794876798E-2"/>
                  <c:y val="5.6322119909802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036193141064935E-2"/>
                  <c:y val="1.5273706014432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4432548723906051E-2"/>
                  <c:y val="7.67052731968909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2029557137789403E-2"/>
                  <c:y val="2.2473995613521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2022928766513783E-2"/>
                  <c:y val="1.6855446189319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2028791215201881E-2"/>
                  <c:y val="2.5965370427482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4434444724841658E-2"/>
                  <c:y val="2.0892104696644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443425512474833E-2"/>
                  <c:y val="2.1946832269452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9.6322535544803543E-3"/>
                  <c:y val="1.0182470676288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solidFill>
                      <a:srgbClr val="FF0000"/>
                    </a:solidFill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工作表1!$C$2:$C$14</c:f>
              <c:numCache>
                <c:formatCode>_-* #,##0_-;\-* #,##0_-;_-* "-"??_-;_-@_-</c:formatCode>
                <c:ptCount val="13"/>
                <c:pt idx="0">
                  <c:v>844.92365115089524</c:v>
                </c:pt>
                <c:pt idx="1">
                  <c:v>879.31339168399154</c:v>
                </c:pt>
                <c:pt idx="2">
                  <c:v>804.74187684305753</c:v>
                </c:pt>
                <c:pt idx="3">
                  <c:v>861.02628213773335</c:v>
                </c:pt>
                <c:pt idx="4">
                  <c:v>837.90919889094266</c:v>
                </c:pt>
                <c:pt idx="5">
                  <c:v>905.79630397842232</c:v>
                </c:pt>
                <c:pt idx="6">
                  <c:v>970.03057864583332</c:v>
                </c:pt>
                <c:pt idx="7">
                  <c:v>916.66879139072819</c:v>
                </c:pt>
                <c:pt idx="8">
                  <c:v>922.49242648607992</c:v>
                </c:pt>
                <c:pt idx="9">
                  <c:v>844.68533531493279</c:v>
                </c:pt>
                <c:pt idx="10">
                  <c:v>904.62364200140939</c:v>
                </c:pt>
                <c:pt idx="11">
                  <c:v>870.93956275924268</c:v>
                </c:pt>
                <c:pt idx="12">
                  <c:v>883.34413153526987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透天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4.8224783803753404E-3"/>
                  <c:y val="-1.2082519324244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087096672202184E-17"/>
                  <c:y val="1.179083689464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8592048665037678E-6"/>
                  <c:y val="5.89763644638095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8224736607143303E-3"/>
                  <c:y val="1.0986729415021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037505402804715E-3"/>
                  <c:y val="-1.015977025765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272006551062441E-5"/>
                  <c:y val="5.09123533814424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4054551935671627E-3"/>
                  <c:y val="6.6395376315232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6562944692154446E-6"/>
                  <c:y val="1.0932842837412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7.2137138978109914E-3"/>
                  <c:y val="2.242631302794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8091715066055085E-3"/>
                  <c:y val="2.1903937609517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4179699935099877E-3"/>
                  <c:y val="1.6812702271372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3912363803142772E-3"/>
                  <c:y val="2.1391206113651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1.069560305682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solidFill>
                      <a:srgbClr val="008000"/>
                    </a:solidFill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工作表1!$D$2:$D$14</c:f>
              <c:numCache>
                <c:formatCode>_(* #,##0_);_(* \(#,##0\);_(* "-"??_);_(@_)</c:formatCode>
                <c:ptCount val="13"/>
                <c:pt idx="0">
                  <c:v>1099.6057429184548</c:v>
                </c:pt>
                <c:pt idx="1">
                  <c:v>1014.1403108280253</c:v>
                </c:pt>
                <c:pt idx="2">
                  <c:v>1166.825607788162</c:v>
                </c:pt>
                <c:pt idx="3">
                  <c:v>1050.171952818991</c:v>
                </c:pt>
                <c:pt idx="4">
                  <c:v>1108.0911787465939</c:v>
                </c:pt>
                <c:pt idx="5">
                  <c:v>1057.3957049707601</c:v>
                </c:pt>
                <c:pt idx="6">
                  <c:v>1220.2479244648318</c:v>
                </c:pt>
                <c:pt idx="7">
                  <c:v>992.66044050179198</c:v>
                </c:pt>
                <c:pt idx="8">
                  <c:v>1076.9093516014236</c:v>
                </c:pt>
                <c:pt idx="9">
                  <c:v>1036.0007905063292</c:v>
                </c:pt>
                <c:pt idx="10">
                  <c:v>1039.2478387959868</c:v>
                </c:pt>
                <c:pt idx="11">
                  <c:v>1061.366201577287</c:v>
                </c:pt>
                <c:pt idx="12">
                  <c:v>1096.6692844444447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368064"/>
        <c:axId val="135386240"/>
      </c:barChart>
      <c:catAx>
        <c:axId val="13536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1080000"/>
          <a:lstStyle/>
          <a:p>
            <a:pPr>
              <a:defRPr/>
            </a:pPr>
            <a:endParaRPr lang="zh-TW"/>
          </a:p>
        </c:txPr>
        <c:crossAx val="135386240"/>
        <c:crosses val="autoZero"/>
        <c:auto val="1"/>
        <c:lblAlgn val="ctr"/>
        <c:lblOffset val="100"/>
        <c:tickLblSkip val="1"/>
        <c:noMultiLvlLbl val="0"/>
      </c:catAx>
      <c:valAx>
        <c:axId val="135386240"/>
        <c:scaling>
          <c:orientation val="minMax"/>
          <c:max val="140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_(* #,##0_);_(* \(#,##0\);_(* &quot;-&quot;_);_(@_)" sourceLinked="0"/>
        <c:majorTickMark val="out"/>
        <c:minorTickMark val="none"/>
        <c:tickLblPos val="nextTo"/>
        <c:crossAx val="135368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84724523494465"/>
          <c:y val="3.6978454616249892E-2"/>
          <c:w val="0.3223188158835314"/>
          <c:h val="8.370014946048506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013067112097023E-2"/>
          <c:y val="3.1660283709672485E-2"/>
          <c:w val="0.93069672247649005"/>
          <c:h val="0.79494510656986472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公寓</c:v>
                </c:pt>
              </c:strCache>
            </c:strRef>
          </c:tx>
          <c:marker>
            <c:symbol val="diamond"/>
            <c:size val="5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5.0592783710182013E-2"/>
                  <c:y val="-5.23895253615657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aseline="0">
                      <a:solidFill>
                        <a:schemeClr val="tx1"/>
                      </a:solidFill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3050309450036234E-2"/>
                  <c:y val="-6.7899858851496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592783710182013E-2"/>
                  <c:y val="-5.23895253615657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8187328516614496E-2"/>
                  <c:y val="-5.23895253615657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aseline="0">
                      <a:solidFill>
                        <a:schemeClr val="tx1"/>
                      </a:solidFill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zh-TW" altLang="en-US"/>
                      <a:t>公寓
</a:t>
                    </a:r>
                    <a:r>
                      <a:rPr lang="zh-TW" altLang="en-US">
                        <a:solidFill>
                          <a:schemeClr val="tx1"/>
                        </a:solidFill>
                      </a:rPr>
                      <a:t> </a:t>
                    </a:r>
                    <a:r>
                      <a:rPr lang="en-US" altLang="zh-TW">
                        <a:solidFill>
                          <a:schemeClr val="tx1"/>
                        </a:solidFill>
                      </a:rPr>
                      <a:t>10.67</a:t>
                    </a:r>
                    <a:r>
                      <a:rPr lang="en-US" altLang="zh-TW"/>
                      <a:t> 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zh-TW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工作表1!$B$2:$B$14</c:f>
              <c:numCache>
                <c:formatCode>_(* #,##0.00_);_(* \(#,##0.00\);_(* "-"??_);_(@_)</c:formatCode>
                <c:ptCount val="13"/>
                <c:pt idx="0">
                  <c:v>10.497433333333339</c:v>
                </c:pt>
                <c:pt idx="1">
                  <c:v>11.697669565217389</c:v>
                </c:pt>
                <c:pt idx="2">
                  <c:v>12.432084070796453</c:v>
                </c:pt>
                <c:pt idx="3">
                  <c:v>11.715460655737711</c:v>
                </c:pt>
                <c:pt idx="4">
                  <c:v>11.574619999999996</c:v>
                </c:pt>
                <c:pt idx="5">
                  <c:v>11.804578571428575</c:v>
                </c:pt>
                <c:pt idx="6">
                  <c:v>11.506953676470593</c:v>
                </c:pt>
                <c:pt idx="7">
                  <c:v>12.501778082191779</c:v>
                </c:pt>
                <c:pt idx="8">
                  <c:v>11.760058823529407</c:v>
                </c:pt>
                <c:pt idx="9">
                  <c:v>12.01284297520661</c:v>
                </c:pt>
                <c:pt idx="10">
                  <c:v>11.482328846153846</c:v>
                </c:pt>
                <c:pt idx="11">
                  <c:v>11.767083999999995</c:v>
                </c:pt>
                <c:pt idx="12">
                  <c:v>10.66506511627907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大樓</c:v>
                </c:pt>
              </c:strCache>
            </c:strRef>
          </c:tx>
          <c:marker>
            <c:symbol val="square"/>
            <c:size val="5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aseline="0">
                      <a:solidFill>
                        <a:schemeClr val="tx1"/>
                      </a:solidFill>
                    </a:defRPr>
                  </a:pPr>
                  <a:endParaRPr lang="zh-TW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187414928231913E-2"/>
                  <c:y val="-5.757332334109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520806854459417E-2"/>
                  <c:y val="-6.2703732639101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112765087791535E-2"/>
                  <c:y val="-6.2703526866669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3001250528946088E-2"/>
                  <c:y val="-7.82896621987328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aseline="0">
                      <a:solidFill>
                        <a:schemeClr val="tx1"/>
                      </a:solidFill>
                    </a:defRPr>
                  </a:pPr>
                  <a:endParaRPr lang="zh-TW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zh-TW" altLang="en-US"/>
                      <a:t>大樓
 </a:t>
                    </a:r>
                    <a:r>
                      <a:rPr lang="en-US" altLang="zh-TW">
                        <a:solidFill>
                          <a:schemeClr val="tx1"/>
                        </a:solidFill>
                      </a:rPr>
                      <a:t>18.53</a:t>
                    </a:r>
                    <a:r>
                      <a:rPr lang="en-US" altLang="zh-TW"/>
                      <a:t> 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rgbClr val="C00000"/>
                    </a:solidFill>
                  </a:defRPr>
                </a:pPr>
                <a:endParaRPr lang="zh-TW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工作表1!$C$2:$C$14</c:f>
              <c:numCache>
                <c:formatCode>_(* #,##0.00_);_(* \(#,##0.00\);_(* "-"??_);_(@_)</c:formatCode>
                <c:ptCount val="13"/>
                <c:pt idx="0">
                  <c:v>18.106027109974413</c:v>
                </c:pt>
                <c:pt idx="1">
                  <c:v>19.096508108108118</c:v>
                </c:pt>
                <c:pt idx="2">
                  <c:v>16.664719810040651</c:v>
                </c:pt>
                <c:pt idx="3">
                  <c:v>17.846771879483505</c:v>
                </c:pt>
                <c:pt idx="4">
                  <c:v>17.140171349353071</c:v>
                </c:pt>
                <c:pt idx="5">
                  <c:v>18.641679231287942</c:v>
                </c:pt>
                <c:pt idx="6">
                  <c:v>18.934894010416667</c:v>
                </c:pt>
                <c:pt idx="7">
                  <c:v>19.207083195364223</c:v>
                </c:pt>
                <c:pt idx="8">
                  <c:v>18.729300300978178</c:v>
                </c:pt>
                <c:pt idx="9">
                  <c:v>18.015091932059452</c:v>
                </c:pt>
                <c:pt idx="10">
                  <c:v>18.836731430584909</c:v>
                </c:pt>
                <c:pt idx="11">
                  <c:v>17.902800450856606</c:v>
                </c:pt>
                <c:pt idx="12">
                  <c:v>18.531233817427363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173248"/>
        <c:axId val="135174784"/>
      </c:lineChart>
      <c:dateAx>
        <c:axId val="13517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140000"/>
          <a:lstStyle/>
          <a:p>
            <a:pPr>
              <a:defRPr/>
            </a:pPr>
            <a:endParaRPr lang="zh-TW"/>
          </a:p>
        </c:txPr>
        <c:crossAx val="135174784"/>
        <c:crosses val="autoZero"/>
        <c:auto val="0"/>
        <c:lblOffset val="100"/>
        <c:baseTimeUnit val="days"/>
        <c:majorUnit val="1"/>
      </c:dateAx>
      <c:valAx>
        <c:axId val="135174784"/>
        <c:scaling>
          <c:orientation val="minMax"/>
          <c:max val="25"/>
          <c:min val="1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_);[Red]\(#,##0\)" sourceLinked="0"/>
        <c:majorTickMark val="out"/>
        <c:minorTickMark val="none"/>
        <c:tickLblPos val="nextTo"/>
        <c:crossAx val="135173248"/>
        <c:crossesAt val="1"/>
        <c:crossBetween val="between"/>
        <c:majorUnit val="2"/>
        <c:minorUnit val="1"/>
      </c:valAx>
      <c:spPr>
        <a:noFill/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217392952234814E-2"/>
          <c:y val="4.5830834613165623E-2"/>
          <c:w val="0.93224725129922204"/>
          <c:h val="0.78821502575335856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公寓</c:v>
                </c:pt>
              </c:strCache>
            </c:strRef>
          </c:tx>
          <c:marker>
            <c:symbol val="diamond"/>
            <c:size val="5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5.0669089660575345E-2"/>
                  <c:y val="-5.37865700004739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aseline="0">
                      <a:solidFill>
                        <a:schemeClr val="tx1"/>
                      </a:solidFill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260006468483219E-2"/>
                  <c:y val="-5.37865700004739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669089660575345E-2"/>
                  <c:y val="-5.37865700004739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669089660575296E-2"/>
                  <c:y val="-5.37865700004739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0669089660575345E-2"/>
                  <c:y val="-5.37865700004739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0669089660575345E-2"/>
                  <c:y val="-5.91106447538385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0669089660575345E-2"/>
                  <c:y val="-4.31384204937471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0669089660575345E-2"/>
                  <c:y val="-4.84624952471120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0669089660575269E-2"/>
                  <c:y val="-4.8462495247112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0669089660575345E-2"/>
                  <c:y val="-4.3138420493747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9883588836555533E-2"/>
                  <c:y val="-6.85163385209954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aseline="0">
                      <a:solidFill>
                        <a:schemeClr val="tx1"/>
                      </a:solidFill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8.0863657995074243E-4"/>
                  <c:y val="-8.9811890273855527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公寓
</a:t>
                    </a:r>
                    <a:r>
                      <a:rPr lang="zh-TW" altLang="en-US">
                        <a:solidFill>
                          <a:schemeClr val="tx1"/>
                        </a:solidFill>
                      </a:rPr>
                      <a:t> </a:t>
                    </a:r>
                    <a:r>
                      <a:rPr lang="en-US" altLang="zh-TW">
                        <a:solidFill>
                          <a:schemeClr val="tx1"/>
                        </a:solidFill>
                      </a:rPr>
                      <a:t>27.47</a:t>
                    </a:r>
                    <a:r>
                      <a:rPr lang="zh-TW" altLang="en-US" baseline="0">
                        <a:solidFill>
                          <a:schemeClr val="tx1"/>
                        </a:solidFill>
                      </a:rPr>
                      <a:t> </a:t>
                    </a:r>
                    <a:endParaRPr lang="en-US" altLang="zh-TW"/>
                  </a:p>
                </c:rich>
              </c:tx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工作表1!$B$2:$B$14</c:f>
              <c:numCache>
                <c:formatCode>_(* #,##0.00_);_(* \(#,##0.00\);_(* "-"??_);_(@_)</c:formatCode>
                <c:ptCount val="13"/>
                <c:pt idx="0">
                  <c:v>28.345066666666668</c:v>
                </c:pt>
                <c:pt idx="1">
                  <c:v>27.657826086956522</c:v>
                </c:pt>
                <c:pt idx="2">
                  <c:v>29.796017699115055</c:v>
                </c:pt>
                <c:pt idx="3">
                  <c:v>27.69311475409835</c:v>
                </c:pt>
                <c:pt idx="4">
                  <c:v>28.954000000000001</c:v>
                </c:pt>
                <c:pt idx="5">
                  <c:v>27.581964285714303</c:v>
                </c:pt>
                <c:pt idx="6">
                  <c:v>28.265220588235298</c:v>
                </c:pt>
                <c:pt idx="7">
                  <c:v>30.081643835616447</c:v>
                </c:pt>
                <c:pt idx="8">
                  <c:v>28.150000000000006</c:v>
                </c:pt>
                <c:pt idx="9">
                  <c:v>26.862809917355357</c:v>
                </c:pt>
                <c:pt idx="10">
                  <c:v>28.829326923076913</c:v>
                </c:pt>
                <c:pt idx="11">
                  <c:v>28.604100000000006</c:v>
                </c:pt>
                <c:pt idx="12">
                  <c:v>27.474418604651159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大樓</c:v>
                </c:pt>
              </c:strCache>
            </c:strRef>
          </c:tx>
          <c:marker>
            <c:symbol val="square"/>
            <c:size val="5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aseline="0">
                      <a:solidFill>
                        <a:schemeClr val="tx1"/>
                      </a:solidFill>
                    </a:defRPr>
                  </a:pPr>
                  <a:endParaRPr lang="zh-TW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9883588836555533E-2"/>
                  <c:y val="-5.28285913926561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0669089660575345E-2"/>
                  <c:y val="-5.37865700004739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9883588836555533E-2"/>
                  <c:y val="-6.32870894782156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aseline="0">
                      <a:solidFill>
                        <a:schemeClr val="tx1"/>
                      </a:solidFill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1.9490701153326528E-4"/>
                  <c:y val="-8.4690556469500064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大樓
</a:t>
                    </a:r>
                    <a:r>
                      <a:rPr lang="zh-TW" altLang="en-US">
                        <a:solidFill>
                          <a:schemeClr val="tx1"/>
                        </a:solidFill>
                      </a:rPr>
                      <a:t> </a:t>
                    </a:r>
                    <a:r>
                      <a:rPr lang="en-US" altLang="zh-TW">
                        <a:solidFill>
                          <a:schemeClr val="tx1"/>
                        </a:solidFill>
                      </a:rPr>
                      <a:t>47.51</a:t>
                    </a:r>
                    <a:r>
                      <a:rPr lang="en-US" altLang="zh-TW"/>
                      <a:t> 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rgbClr val="FF0000"/>
                    </a:solidFill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工作表1!$C$2:$C$14</c:f>
              <c:numCache>
                <c:formatCode>_(* #,##0.00_);_(* \(#,##0.00\);_(* "-"??_);_(@_)</c:formatCode>
                <c:ptCount val="13"/>
                <c:pt idx="0">
                  <c:v>46.807122762148325</c:v>
                </c:pt>
                <c:pt idx="1">
                  <c:v>46.010893970894003</c:v>
                </c:pt>
                <c:pt idx="2">
                  <c:v>50.172781546811343</c:v>
                </c:pt>
                <c:pt idx="3">
                  <c:v>51.692403156384486</c:v>
                </c:pt>
                <c:pt idx="4">
                  <c:v>50.543120147874227</c:v>
                </c:pt>
                <c:pt idx="5">
                  <c:v>48.800660822656852</c:v>
                </c:pt>
                <c:pt idx="6">
                  <c:v>50.376165364583358</c:v>
                </c:pt>
                <c:pt idx="7">
                  <c:v>48.074130794702057</c:v>
                </c:pt>
                <c:pt idx="8">
                  <c:v>48.924499623777258</c:v>
                </c:pt>
                <c:pt idx="9">
                  <c:v>47.540063694267538</c:v>
                </c:pt>
                <c:pt idx="10">
                  <c:v>48.12026074700497</c:v>
                </c:pt>
                <c:pt idx="11">
                  <c:v>48.017186654643872</c:v>
                </c:pt>
                <c:pt idx="12">
                  <c:v>47.511244813278012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透天厝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triangle"/>
            <c:size val="5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marker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aseline="0">
                      <a:solidFill>
                        <a:schemeClr val="tx1"/>
                      </a:solidFill>
                    </a:defRPr>
                  </a:pPr>
                  <a:endParaRPr lang="zh-TW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5459955899444684E-2"/>
                  <c:y val="-6.95673622622498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aseline="0">
                      <a:solidFill>
                        <a:schemeClr val="tx1"/>
                      </a:solidFill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</c:dLbl>
            <c:dLbl>
              <c:idx val="12"/>
              <c:tx>
                <c:rich>
                  <a:bodyPr/>
                  <a:lstStyle/>
                  <a:p>
                    <a:r>
                      <a:rPr lang="zh-TW" altLang="en-US"/>
                      <a:t>透天厝
</a:t>
                    </a:r>
                    <a:r>
                      <a:rPr lang="en-US" altLang="zh-TW">
                        <a:solidFill>
                          <a:schemeClr val="tx1"/>
                        </a:solidFill>
                      </a:rPr>
                      <a:t>62.15</a:t>
                    </a:r>
                    <a:r>
                      <a:rPr lang="en-US" altLang="zh-TW"/>
                      <a:t> 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工作表1!$A$2:$A$14</c:f>
              <c:strCache>
                <c:ptCount val="13"/>
                <c:pt idx="0">
                  <c:v>105/01</c:v>
                </c:pt>
                <c:pt idx="1">
                  <c:v>105/02</c:v>
                </c:pt>
                <c:pt idx="2">
                  <c:v>105/03</c:v>
                </c:pt>
                <c:pt idx="3">
                  <c:v>105/04</c:v>
                </c:pt>
                <c:pt idx="4">
                  <c:v>105/05</c:v>
                </c:pt>
                <c:pt idx="5">
                  <c:v>105/06</c:v>
                </c:pt>
                <c:pt idx="6">
                  <c:v>105/07</c:v>
                </c:pt>
                <c:pt idx="7">
                  <c:v>105/08</c:v>
                </c:pt>
                <c:pt idx="8">
                  <c:v>105/09</c:v>
                </c:pt>
                <c:pt idx="9">
                  <c:v>105/10</c:v>
                </c:pt>
                <c:pt idx="10">
                  <c:v>105/11</c:v>
                </c:pt>
                <c:pt idx="11">
                  <c:v>105/12</c:v>
                </c:pt>
                <c:pt idx="12">
                  <c:v>106/01</c:v>
                </c:pt>
              </c:strCache>
            </c:strRef>
          </c:cat>
          <c:val>
            <c:numRef>
              <c:f>工作表1!$D$2:$D$14</c:f>
              <c:numCache>
                <c:formatCode>_(* #,##0.00_);_(* \(#,##0.00\);_(* "-"??_);_(@_)</c:formatCode>
                <c:ptCount val="13"/>
                <c:pt idx="0">
                  <c:v>61.732575107296121</c:v>
                </c:pt>
                <c:pt idx="1">
                  <c:v>60.601464968152882</c:v>
                </c:pt>
                <c:pt idx="2">
                  <c:v>63.052398753894117</c:v>
                </c:pt>
                <c:pt idx="3">
                  <c:v>60.297507418397643</c:v>
                </c:pt>
                <c:pt idx="4">
                  <c:v>61.704822888283346</c:v>
                </c:pt>
                <c:pt idx="5">
                  <c:v>59.550204678362576</c:v>
                </c:pt>
                <c:pt idx="6">
                  <c:v>64.215198776758456</c:v>
                </c:pt>
                <c:pt idx="7">
                  <c:v>59.47075268817207</c:v>
                </c:pt>
                <c:pt idx="8">
                  <c:v>62.600249110320291</c:v>
                </c:pt>
                <c:pt idx="9">
                  <c:v>60.787025316455626</c:v>
                </c:pt>
                <c:pt idx="10">
                  <c:v>60.291337792642167</c:v>
                </c:pt>
                <c:pt idx="11">
                  <c:v>61.797949526813845</c:v>
                </c:pt>
                <c:pt idx="12">
                  <c:v>62.151555555555561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800320"/>
        <c:axId val="133801856"/>
      </c:lineChart>
      <c:catAx>
        <c:axId val="13380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200000"/>
          <a:lstStyle/>
          <a:p>
            <a:pPr>
              <a:defRPr/>
            </a:pPr>
            <a:endParaRPr lang="zh-TW"/>
          </a:p>
        </c:txPr>
        <c:crossAx val="133801856"/>
        <c:crosses val="autoZero"/>
        <c:auto val="1"/>
        <c:lblAlgn val="ctr"/>
        <c:lblOffset val="100"/>
        <c:tickLblSkip val="1"/>
        <c:noMultiLvlLbl val="0"/>
      </c:catAx>
      <c:valAx>
        <c:axId val="133801856"/>
        <c:scaling>
          <c:orientation val="minMax"/>
          <c:max val="75"/>
          <c:min val="25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ysDot"/>
            </a:ln>
          </c:spPr>
        </c:majorGridlines>
        <c:numFmt formatCode="_(* #,##0_);_(* \(#,##0\);_(* &quot;-&quot;_);_(@_)" sourceLinked="0"/>
        <c:majorTickMark val="out"/>
        <c:minorTickMark val="none"/>
        <c:tickLblPos val="nextTo"/>
        <c:crossAx val="133800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0.09648</cdr:x>
      <cdr:y>0.0463</cdr:y>
    </cdr:from>
    <cdr:to>
      <cdr:x>0.23277</cdr:x>
      <cdr:y>0.20679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502926" y="119270"/>
          <a:ext cx="710478" cy="4134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1000">
              <a:latin typeface="微軟正黑體" pitchFamily="34" charset="-120"/>
              <a:ea typeface="微軟正黑體" pitchFamily="34" charset="-120"/>
            </a:rPr>
            <a:t>(</a:t>
          </a:r>
          <a:r>
            <a:rPr lang="zh-TW" altLang="en-US" sz="1000">
              <a:latin typeface="微軟正黑體" pitchFamily="34" charset="-120"/>
              <a:ea typeface="微軟正黑體" pitchFamily="34" charset="-120"/>
            </a:rPr>
            <a:t>萬元</a:t>
          </a:r>
          <a:r>
            <a:rPr lang="en-US" altLang="zh-TW" sz="1000">
              <a:latin typeface="微軟正黑體" pitchFamily="34" charset="-120"/>
              <a:ea typeface="微軟正黑體" pitchFamily="34" charset="-120"/>
            </a:rPr>
            <a:t>/</a:t>
          </a:r>
          <a:r>
            <a:rPr lang="zh-TW" altLang="en-US" sz="1000">
              <a:latin typeface="微軟正黑體" pitchFamily="34" charset="-120"/>
              <a:ea typeface="微軟正黑體" pitchFamily="34" charset="-120"/>
            </a:rPr>
            <a:t>坪</a:t>
          </a:r>
          <a:r>
            <a:rPr lang="en-US" altLang="zh-TW" sz="1000">
              <a:latin typeface="微軟正黑體" pitchFamily="34" charset="-120"/>
              <a:ea typeface="微軟正黑體" pitchFamily="34" charset="-120"/>
            </a:rPr>
            <a:t>)</a:t>
          </a:r>
          <a:endParaRPr lang="zh-TW" altLang="en-US" sz="1000">
            <a:latin typeface="微軟正黑體" pitchFamily="34" charset="-120"/>
            <a:ea typeface="微軟正黑體" pitchFamily="34" charset="-120"/>
          </a:endParaRPr>
        </a:p>
      </cdr:txBody>
    </cdr:sp>
  </cdr:relSizeAnchor>
  <cdr:relSizeAnchor xmlns:cdr="http://schemas.openxmlformats.org/drawingml/2006/chartDrawing">
    <cdr:from>
      <cdr:x>0.41711</cdr:x>
      <cdr:y>0.04811</cdr:y>
    </cdr:from>
    <cdr:to>
      <cdr:x>0.59306</cdr:x>
      <cdr:y>0.17993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2174341" y="123933"/>
          <a:ext cx="917211" cy="3395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1400" b="1">
              <a:solidFill>
                <a:srgbClr val="FF0000"/>
              </a:solidFill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>
              <a:solidFill>
                <a:srgbClr val="FF0000"/>
              </a:solidFill>
              <a:latin typeface="標楷體" pitchFamily="65" charset="-120"/>
              <a:ea typeface="標楷體" pitchFamily="65" charset="-120"/>
            </a:rPr>
            <a:t>八德區</a:t>
          </a:r>
          <a:r>
            <a:rPr lang="en-US" altLang="zh-TW" sz="1400" b="1">
              <a:solidFill>
                <a:srgbClr val="FF0000"/>
              </a:solidFill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>
            <a:solidFill>
              <a:srgbClr val="FF0000"/>
            </a:solidFill>
            <a:latin typeface="標楷體" pitchFamily="65" charset="-120"/>
            <a:ea typeface="標楷體" pitchFamily="65" charset="-12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0.09648</cdr:x>
      <cdr:y>0.0463</cdr:y>
    </cdr:from>
    <cdr:to>
      <cdr:x>0.23277</cdr:x>
      <cdr:y>0.20679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502926" y="119270"/>
          <a:ext cx="710478" cy="4134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1000">
              <a:latin typeface="微軟正黑體" pitchFamily="34" charset="-120"/>
              <a:ea typeface="微軟正黑體" pitchFamily="34" charset="-120"/>
            </a:rPr>
            <a:t>(</a:t>
          </a:r>
          <a:r>
            <a:rPr lang="zh-TW" altLang="en-US" sz="1000">
              <a:latin typeface="微軟正黑體" pitchFamily="34" charset="-120"/>
              <a:ea typeface="微軟正黑體" pitchFamily="34" charset="-120"/>
            </a:rPr>
            <a:t>萬元</a:t>
          </a:r>
          <a:r>
            <a:rPr lang="en-US" altLang="zh-TW" sz="1000">
              <a:latin typeface="微軟正黑體" pitchFamily="34" charset="-120"/>
              <a:ea typeface="微軟正黑體" pitchFamily="34" charset="-120"/>
            </a:rPr>
            <a:t>/</a:t>
          </a:r>
          <a:r>
            <a:rPr lang="zh-TW" altLang="en-US" sz="1000">
              <a:latin typeface="微軟正黑體" pitchFamily="34" charset="-120"/>
              <a:ea typeface="微軟正黑體" pitchFamily="34" charset="-120"/>
            </a:rPr>
            <a:t>坪</a:t>
          </a:r>
          <a:r>
            <a:rPr lang="en-US" altLang="zh-TW" sz="1000">
              <a:latin typeface="微軟正黑體" pitchFamily="34" charset="-120"/>
              <a:ea typeface="微軟正黑體" pitchFamily="34" charset="-120"/>
            </a:rPr>
            <a:t>)</a:t>
          </a:r>
          <a:endParaRPr lang="zh-TW" altLang="en-US" sz="1000">
            <a:latin typeface="微軟正黑體" pitchFamily="34" charset="-120"/>
            <a:ea typeface="微軟正黑體" pitchFamily="34" charset="-120"/>
          </a:endParaRPr>
        </a:p>
      </cdr:txBody>
    </cdr:sp>
  </cdr:relSizeAnchor>
  <cdr:relSizeAnchor xmlns:cdr="http://schemas.openxmlformats.org/drawingml/2006/chartDrawing">
    <cdr:from>
      <cdr:x>0.41711</cdr:x>
      <cdr:y>0.04811</cdr:y>
    </cdr:from>
    <cdr:to>
      <cdr:x>0.59306</cdr:x>
      <cdr:y>0.17993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2174341" y="123933"/>
          <a:ext cx="917211" cy="3395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1400" b="1">
              <a:solidFill>
                <a:srgbClr val="FF0000"/>
              </a:solidFill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>
              <a:solidFill>
                <a:srgbClr val="FF0000"/>
              </a:solidFill>
              <a:latin typeface="標楷體" pitchFamily="65" charset="-120"/>
              <a:ea typeface="標楷體" pitchFamily="65" charset="-120"/>
            </a:rPr>
            <a:t>中壢區</a:t>
          </a:r>
          <a:r>
            <a:rPr lang="en-US" altLang="zh-TW" sz="1400" b="1">
              <a:solidFill>
                <a:srgbClr val="FF0000"/>
              </a:solidFill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>
            <a:solidFill>
              <a:srgbClr val="FF0000"/>
            </a:solidFill>
            <a:latin typeface="標楷體" pitchFamily="65" charset="-120"/>
            <a:ea typeface="標楷體" pitchFamily="65" charset="-12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0.09648</cdr:x>
      <cdr:y>0.0463</cdr:y>
    </cdr:from>
    <cdr:to>
      <cdr:x>0.23277</cdr:x>
      <cdr:y>0.20679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502926" y="119270"/>
          <a:ext cx="710478" cy="4134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1000">
              <a:latin typeface="微軟正黑體" pitchFamily="34" charset="-120"/>
              <a:ea typeface="微軟正黑體" pitchFamily="34" charset="-120"/>
            </a:rPr>
            <a:t>(</a:t>
          </a:r>
          <a:r>
            <a:rPr lang="zh-TW" altLang="en-US" sz="1000">
              <a:latin typeface="微軟正黑體" pitchFamily="34" charset="-120"/>
              <a:ea typeface="微軟正黑體" pitchFamily="34" charset="-120"/>
            </a:rPr>
            <a:t>萬元</a:t>
          </a:r>
          <a:r>
            <a:rPr lang="en-US" altLang="zh-TW" sz="1000">
              <a:latin typeface="微軟正黑體" pitchFamily="34" charset="-120"/>
              <a:ea typeface="微軟正黑體" pitchFamily="34" charset="-120"/>
            </a:rPr>
            <a:t>/</a:t>
          </a:r>
          <a:r>
            <a:rPr lang="zh-TW" altLang="en-US" sz="1000">
              <a:latin typeface="微軟正黑體" pitchFamily="34" charset="-120"/>
              <a:ea typeface="微軟正黑體" pitchFamily="34" charset="-120"/>
            </a:rPr>
            <a:t>坪</a:t>
          </a:r>
          <a:r>
            <a:rPr lang="en-US" altLang="zh-TW" sz="1000">
              <a:latin typeface="微軟正黑體" pitchFamily="34" charset="-120"/>
              <a:ea typeface="微軟正黑體" pitchFamily="34" charset="-120"/>
            </a:rPr>
            <a:t>)</a:t>
          </a:r>
          <a:endParaRPr lang="zh-TW" altLang="en-US" sz="1000">
            <a:latin typeface="微軟正黑體" pitchFamily="34" charset="-120"/>
            <a:ea typeface="微軟正黑體" pitchFamily="34" charset="-120"/>
          </a:endParaRPr>
        </a:p>
      </cdr:txBody>
    </cdr:sp>
  </cdr:relSizeAnchor>
  <cdr:relSizeAnchor xmlns:cdr="http://schemas.openxmlformats.org/drawingml/2006/chartDrawing">
    <cdr:from>
      <cdr:x>0.41711</cdr:x>
      <cdr:y>0.04811</cdr:y>
    </cdr:from>
    <cdr:to>
      <cdr:x>0.59306</cdr:x>
      <cdr:y>0.17993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2174341" y="123933"/>
          <a:ext cx="917211" cy="3395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1400" b="1">
              <a:solidFill>
                <a:srgbClr val="FF0000"/>
              </a:solidFill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>
              <a:solidFill>
                <a:srgbClr val="FF0000"/>
              </a:solidFill>
              <a:latin typeface="標楷體" pitchFamily="65" charset="-120"/>
              <a:ea typeface="標楷體" pitchFamily="65" charset="-120"/>
            </a:rPr>
            <a:t>平鎮區</a:t>
          </a:r>
          <a:r>
            <a:rPr lang="en-US" altLang="zh-TW" sz="1400" b="1">
              <a:solidFill>
                <a:srgbClr val="FF0000"/>
              </a:solidFill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>
            <a:solidFill>
              <a:srgbClr val="FF0000"/>
            </a:solidFill>
            <a:latin typeface="標楷體" pitchFamily="65" charset="-120"/>
            <a:ea typeface="標楷體" pitchFamily="65" charset="-12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0.09648</cdr:x>
      <cdr:y>0.0463</cdr:y>
    </cdr:from>
    <cdr:to>
      <cdr:x>0.23277</cdr:x>
      <cdr:y>0.20679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502926" y="119270"/>
          <a:ext cx="710478" cy="4134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1000">
              <a:latin typeface="微軟正黑體" pitchFamily="34" charset="-120"/>
              <a:ea typeface="微軟正黑體" pitchFamily="34" charset="-120"/>
            </a:rPr>
            <a:t>(</a:t>
          </a:r>
          <a:r>
            <a:rPr lang="zh-TW" altLang="en-US" sz="1000">
              <a:latin typeface="微軟正黑體" pitchFamily="34" charset="-120"/>
              <a:ea typeface="微軟正黑體" pitchFamily="34" charset="-120"/>
            </a:rPr>
            <a:t>萬元</a:t>
          </a:r>
          <a:r>
            <a:rPr lang="en-US" altLang="zh-TW" sz="1000">
              <a:latin typeface="微軟正黑體" pitchFamily="34" charset="-120"/>
              <a:ea typeface="微軟正黑體" pitchFamily="34" charset="-120"/>
            </a:rPr>
            <a:t>/</a:t>
          </a:r>
          <a:r>
            <a:rPr lang="zh-TW" altLang="en-US" sz="1000">
              <a:latin typeface="微軟正黑體" pitchFamily="34" charset="-120"/>
              <a:ea typeface="微軟正黑體" pitchFamily="34" charset="-120"/>
            </a:rPr>
            <a:t>坪</a:t>
          </a:r>
          <a:r>
            <a:rPr lang="en-US" altLang="zh-TW" sz="1000">
              <a:latin typeface="微軟正黑體" pitchFamily="34" charset="-120"/>
              <a:ea typeface="微軟正黑體" pitchFamily="34" charset="-120"/>
            </a:rPr>
            <a:t>)</a:t>
          </a:r>
          <a:endParaRPr lang="zh-TW" altLang="en-US" sz="1000">
            <a:latin typeface="微軟正黑體" pitchFamily="34" charset="-120"/>
            <a:ea typeface="微軟正黑體" pitchFamily="34" charset="-120"/>
          </a:endParaRPr>
        </a:p>
      </cdr:txBody>
    </cdr:sp>
  </cdr:relSizeAnchor>
  <cdr:relSizeAnchor xmlns:cdr="http://schemas.openxmlformats.org/drawingml/2006/chartDrawing">
    <cdr:from>
      <cdr:x>0.41711</cdr:x>
      <cdr:y>0.04811</cdr:y>
    </cdr:from>
    <cdr:to>
      <cdr:x>0.59306</cdr:x>
      <cdr:y>0.17993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2174341" y="123933"/>
          <a:ext cx="917211" cy="3395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1400" b="1">
              <a:solidFill>
                <a:srgbClr val="FF0000"/>
              </a:solidFill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>
              <a:solidFill>
                <a:srgbClr val="FF0000"/>
              </a:solidFill>
              <a:latin typeface="標楷體" pitchFamily="65" charset="-120"/>
              <a:ea typeface="標楷體" pitchFamily="65" charset="-120"/>
            </a:rPr>
            <a:t>桃園區</a:t>
          </a:r>
          <a:r>
            <a:rPr lang="en-US" altLang="zh-TW" sz="1400" b="1">
              <a:solidFill>
                <a:srgbClr val="FF0000"/>
              </a:solidFill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>
            <a:solidFill>
              <a:srgbClr val="FF0000"/>
            </a:solidFill>
            <a:latin typeface="標楷體" pitchFamily="65" charset="-120"/>
            <a:ea typeface="標楷體" pitchFamily="65" charset="-12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0.09648</cdr:x>
      <cdr:y>0.0463</cdr:y>
    </cdr:from>
    <cdr:to>
      <cdr:x>0.23277</cdr:x>
      <cdr:y>0.20679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502926" y="119270"/>
          <a:ext cx="710478" cy="4134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1000">
              <a:latin typeface="微軟正黑體" pitchFamily="34" charset="-120"/>
              <a:ea typeface="微軟正黑體" pitchFamily="34" charset="-120"/>
            </a:rPr>
            <a:t>(</a:t>
          </a:r>
          <a:r>
            <a:rPr lang="zh-TW" altLang="en-US" sz="1000">
              <a:latin typeface="微軟正黑體" pitchFamily="34" charset="-120"/>
              <a:ea typeface="微軟正黑體" pitchFamily="34" charset="-120"/>
            </a:rPr>
            <a:t>萬元</a:t>
          </a:r>
          <a:r>
            <a:rPr lang="en-US" altLang="zh-TW" sz="1000">
              <a:latin typeface="微軟正黑體" pitchFamily="34" charset="-120"/>
              <a:ea typeface="微軟正黑體" pitchFamily="34" charset="-120"/>
            </a:rPr>
            <a:t>/</a:t>
          </a:r>
          <a:r>
            <a:rPr lang="zh-TW" altLang="en-US" sz="1000">
              <a:latin typeface="微軟正黑體" pitchFamily="34" charset="-120"/>
              <a:ea typeface="微軟正黑體" pitchFamily="34" charset="-120"/>
            </a:rPr>
            <a:t>坪</a:t>
          </a:r>
          <a:r>
            <a:rPr lang="en-US" altLang="zh-TW" sz="1000">
              <a:latin typeface="微軟正黑體" pitchFamily="34" charset="-120"/>
              <a:ea typeface="微軟正黑體" pitchFamily="34" charset="-120"/>
            </a:rPr>
            <a:t>)</a:t>
          </a:r>
          <a:endParaRPr lang="zh-TW" altLang="en-US" sz="1000">
            <a:latin typeface="微軟正黑體" pitchFamily="34" charset="-120"/>
            <a:ea typeface="微軟正黑體" pitchFamily="34" charset="-120"/>
          </a:endParaRPr>
        </a:p>
      </cdr:txBody>
    </cdr:sp>
  </cdr:relSizeAnchor>
  <cdr:relSizeAnchor xmlns:cdr="http://schemas.openxmlformats.org/drawingml/2006/chartDrawing">
    <cdr:from>
      <cdr:x>0.41711</cdr:x>
      <cdr:y>0.04811</cdr:y>
    </cdr:from>
    <cdr:to>
      <cdr:x>0.59306</cdr:x>
      <cdr:y>0.17993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2174341" y="123933"/>
          <a:ext cx="917211" cy="3395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1400" b="1">
              <a:solidFill>
                <a:srgbClr val="FF0000"/>
              </a:solidFill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>
              <a:solidFill>
                <a:srgbClr val="FF0000"/>
              </a:solidFill>
              <a:latin typeface="標楷體" pitchFamily="65" charset="-120"/>
              <a:ea typeface="標楷體" pitchFamily="65" charset="-120"/>
            </a:rPr>
            <a:t>龜山區</a:t>
          </a:r>
          <a:r>
            <a:rPr lang="en-US" altLang="zh-TW" sz="1400" b="1">
              <a:solidFill>
                <a:srgbClr val="FF0000"/>
              </a:solidFill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>
            <a:solidFill>
              <a:srgbClr val="FF0000"/>
            </a:solidFill>
            <a:latin typeface="標楷體" pitchFamily="65" charset="-120"/>
            <a:ea typeface="標楷體" pitchFamily="65" charset="-12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0.09648</cdr:x>
      <cdr:y>0.0463</cdr:y>
    </cdr:from>
    <cdr:to>
      <cdr:x>0.23277</cdr:x>
      <cdr:y>0.20679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502926" y="119270"/>
          <a:ext cx="710478" cy="4134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1000">
              <a:latin typeface="微軟正黑體" pitchFamily="34" charset="-120"/>
              <a:ea typeface="微軟正黑體" pitchFamily="34" charset="-120"/>
            </a:rPr>
            <a:t>(</a:t>
          </a:r>
          <a:r>
            <a:rPr lang="zh-TW" altLang="en-US" sz="1000">
              <a:latin typeface="微軟正黑體" pitchFamily="34" charset="-120"/>
              <a:ea typeface="微軟正黑體" pitchFamily="34" charset="-120"/>
            </a:rPr>
            <a:t>萬元</a:t>
          </a:r>
          <a:r>
            <a:rPr lang="en-US" altLang="zh-TW" sz="1000">
              <a:latin typeface="微軟正黑體" pitchFamily="34" charset="-120"/>
              <a:ea typeface="微軟正黑體" pitchFamily="34" charset="-120"/>
            </a:rPr>
            <a:t>/</a:t>
          </a:r>
          <a:r>
            <a:rPr lang="zh-TW" altLang="en-US" sz="1000">
              <a:latin typeface="微軟正黑體" pitchFamily="34" charset="-120"/>
              <a:ea typeface="微軟正黑體" pitchFamily="34" charset="-120"/>
            </a:rPr>
            <a:t>坪</a:t>
          </a:r>
          <a:r>
            <a:rPr lang="en-US" altLang="zh-TW" sz="1000">
              <a:latin typeface="微軟正黑體" pitchFamily="34" charset="-120"/>
              <a:ea typeface="微軟正黑體" pitchFamily="34" charset="-120"/>
            </a:rPr>
            <a:t>)</a:t>
          </a:r>
          <a:endParaRPr lang="zh-TW" altLang="en-US" sz="1000">
            <a:latin typeface="微軟正黑體" pitchFamily="34" charset="-120"/>
            <a:ea typeface="微軟正黑體" pitchFamily="34" charset="-120"/>
          </a:endParaRPr>
        </a:p>
      </cdr:txBody>
    </cdr:sp>
  </cdr:relSizeAnchor>
  <cdr:relSizeAnchor xmlns:cdr="http://schemas.openxmlformats.org/drawingml/2006/chartDrawing">
    <cdr:from>
      <cdr:x>0.41711</cdr:x>
      <cdr:y>0.04811</cdr:y>
    </cdr:from>
    <cdr:to>
      <cdr:x>0.59306</cdr:x>
      <cdr:y>0.17993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2174341" y="123933"/>
          <a:ext cx="917211" cy="3395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1400" b="1">
              <a:solidFill>
                <a:srgbClr val="FF0000"/>
              </a:solidFill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>
              <a:solidFill>
                <a:srgbClr val="FF0000"/>
              </a:solidFill>
              <a:latin typeface="標楷體" pitchFamily="65" charset="-120"/>
              <a:ea typeface="標楷體" pitchFamily="65" charset="-120"/>
            </a:rPr>
            <a:t>蘆竹區</a:t>
          </a:r>
          <a:r>
            <a:rPr lang="en-US" altLang="zh-TW" sz="1400" b="1">
              <a:solidFill>
                <a:srgbClr val="FF0000"/>
              </a:solidFill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>
            <a:solidFill>
              <a:srgbClr val="FF0000"/>
            </a:solidFill>
            <a:latin typeface="標楷體" pitchFamily="65" charset="-120"/>
            <a:ea typeface="標楷體" pitchFamily="65" charset="-12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06C8-09FF-4A32-B677-32934290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9</Pages>
  <Words>641</Words>
  <Characters>3658</Characters>
  <Application>Microsoft Office Word</Application>
  <DocSecurity>0</DocSecurity>
  <Lines>30</Lines>
  <Paragraphs>8</Paragraphs>
  <ScaleCrop>false</ScaleCrop>
  <Company>SYNNEX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龔永香</dc:creator>
  <cp:lastModifiedBy>楊恩銘</cp:lastModifiedBy>
  <cp:revision>196</cp:revision>
  <cp:lastPrinted>2017-05-01T11:03:00Z</cp:lastPrinted>
  <dcterms:created xsi:type="dcterms:W3CDTF">2017-03-27T08:55:00Z</dcterms:created>
  <dcterms:modified xsi:type="dcterms:W3CDTF">2017-05-02T00:03:00Z</dcterms:modified>
</cp:coreProperties>
</file>