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461A84" w:rsidRPr="00CA4A89">
        <w:trPr>
          <w:cantSplit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pStyle w:val="a3"/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461A84" w:rsidRPr="00671544" w:rsidRDefault="00461A84" w:rsidP="00290B5C">
            <w:pPr>
              <w:jc w:val="center"/>
              <w:rPr>
                <w:rFonts w:ascii="華康標楷體" w:eastAsia="華康標楷體" w:hAnsi="華康標楷體" w:cs="華康標楷體"/>
                <w:color w:val="FFFFFF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新</w:t>
            </w:r>
            <w:r w:rsidRPr="00671544">
              <w:rPr>
                <w:rFonts w:ascii="華康標楷體" w:eastAsia="華康標楷體" w:hAnsi="華康標楷體" w:cs="華康標楷體"/>
                <w:color w:val="FFFFFF"/>
              </w:rPr>
              <w:t xml:space="preserve"> </w:t>
            </w: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聞</w:t>
            </w:r>
            <w:r w:rsidRPr="00671544">
              <w:rPr>
                <w:rFonts w:ascii="華康標楷體" w:eastAsia="華康標楷體" w:hAnsi="華康標楷體" w:cs="華康標楷體"/>
                <w:color w:val="FFFFFF"/>
              </w:rPr>
              <w:t xml:space="preserve"> </w:t>
            </w:r>
            <w:r w:rsidRPr="00671544">
              <w:rPr>
                <w:rFonts w:ascii="華康標楷體" w:eastAsia="華康標楷體" w:hAnsi="華康標楷體" w:cs="華康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461A84" w:rsidRPr="00671544" w:rsidRDefault="0067154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</w:rPr>
            </w:pPr>
            <w:r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桃園市</w:t>
            </w:r>
            <w:r w:rsidR="00461A84"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461A84" w:rsidRPr="00671544" w:rsidRDefault="00461A8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桃園市</w:t>
            </w:r>
            <w:r w:rsid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桃園區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</w:rPr>
              <w:t>縣府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路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>21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</w:rPr>
              <w:t>電話：</w:t>
            </w:r>
            <w:r w:rsidRPr="00671544">
              <w:rPr>
                <w:rFonts w:ascii="華康標楷體" w:eastAsia="華康標楷體" w:hAnsi="華康標楷體" w:cs="華康標楷體"/>
                <w:color w:val="000000"/>
              </w:rPr>
              <w:t>3322592</w:t>
            </w:r>
          </w:p>
        </w:tc>
      </w:tr>
      <w:tr w:rsidR="00461A84" w:rsidRPr="00CA4A89">
        <w:trPr>
          <w:cantSplit/>
        </w:trPr>
        <w:tc>
          <w:tcPr>
            <w:tcW w:w="5940" w:type="dxa"/>
            <w:tcBorders>
              <w:top w:val="nil"/>
              <w:right w:val="nil"/>
            </w:tcBorders>
          </w:tcPr>
          <w:p w:rsidR="00461A84" w:rsidRPr="00671544" w:rsidRDefault="00461A84" w:rsidP="00290B5C">
            <w:pPr>
              <w:kinsoku w:val="0"/>
              <w:autoSpaceDE w:val="0"/>
              <w:autoSpaceDN w:val="0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461A84" w:rsidRPr="00671544" w:rsidRDefault="00461A84" w:rsidP="00290B5C">
            <w:pPr>
              <w:rPr>
                <w:rFonts w:ascii="華康標楷體" w:eastAsia="華康標楷體" w:hAnsi="華康標楷體" w:cs="華康標楷體"/>
                <w:color w:val="00000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</w:rPr>
              <w:t>傳真：</w:t>
            </w:r>
            <w:r w:rsidRPr="00671544">
              <w:rPr>
                <w:rFonts w:ascii="華康標楷體" w:eastAsia="華康標楷體" w:hAnsi="華康標楷體" w:cs="華康標楷體"/>
                <w:color w:val="000000"/>
              </w:rPr>
              <w:t>3354384</w:t>
            </w:r>
          </w:p>
        </w:tc>
      </w:tr>
      <w:tr w:rsidR="00461A84" w:rsidRPr="00671544">
        <w:trPr>
          <w:cantSplit/>
        </w:trPr>
        <w:tc>
          <w:tcPr>
            <w:tcW w:w="5940" w:type="dxa"/>
          </w:tcPr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中華民國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>10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7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年</w:t>
            </w:r>
            <w:r w:rsidR="00141D31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7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月</w:t>
            </w:r>
            <w:r w:rsidR="0057314C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962DB5" w:rsidRPr="00671544">
              <w:rPr>
                <w:rFonts w:ascii="華康標楷體" w:eastAsia="華康標楷體" w:hAnsi="華康標楷體" w:cs="華康標楷體"/>
                <w:color w:val="000000"/>
                <w:spacing w:val="-4"/>
                <w:kern w:val="0"/>
              </w:rPr>
              <w:t xml:space="preserve"> </w:t>
            </w:r>
            <w:r w:rsid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日發</w:t>
            </w:r>
          </w:p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b/>
                <w:bCs/>
                <w:color w:val="000000"/>
                <w:spacing w:val="-4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4"/>
                <w:kern w:val="0"/>
              </w:rPr>
              <w:t>網址：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http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：</w:t>
            </w:r>
            <w:r w:rsidRPr="005124BA">
              <w:rPr>
                <w:rFonts w:asciiTheme="minorHAnsi" w:eastAsia="華康標楷體" w:hAnsiTheme="minorHAnsi" w:cs="華康標楷體"/>
                <w:color w:val="000000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461A84" w:rsidRPr="00671544" w:rsidRDefault="00461A84" w:rsidP="00290B5C">
            <w:pPr>
              <w:spacing w:line="340" w:lineRule="exact"/>
              <w:rPr>
                <w:rFonts w:ascii="華康標楷體" w:eastAsia="華康標楷體" w:hAnsi="華康標楷體" w:cs="華康標楷體"/>
                <w:color w:val="000000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本稿連絡人：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郭喆超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kern w:val="0"/>
              </w:rPr>
              <w:t xml:space="preserve">       </w:t>
            </w:r>
          </w:p>
          <w:p w:rsidR="00461A84" w:rsidRPr="00671544" w:rsidRDefault="00461A84" w:rsidP="00290B5C">
            <w:pPr>
              <w:kinsoku w:val="0"/>
              <w:autoSpaceDE w:val="0"/>
              <w:autoSpaceDN w:val="0"/>
              <w:spacing w:line="340" w:lineRule="exact"/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</w:pP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電話：</w:t>
            </w:r>
            <w:r w:rsidRPr="00671544"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  <w:t>(03)3322592</w:t>
            </w:r>
            <w:r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轉</w:t>
            </w:r>
            <w:r w:rsidR="00141D31" w:rsidRPr="00671544">
              <w:rPr>
                <w:rFonts w:ascii="華康標楷體" w:eastAsia="華康標楷體" w:hAnsi="華康標楷體" w:cs="華康標楷體"/>
                <w:color w:val="000000"/>
                <w:spacing w:val="-2"/>
                <w:kern w:val="0"/>
              </w:rPr>
              <w:t>85</w:t>
            </w:r>
            <w:r w:rsidR="00141D31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7</w:t>
            </w:r>
            <w:r w:rsidR="00962DB5" w:rsidRPr="00671544">
              <w:rPr>
                <w:rFonts w:ascii="華康標楷體" w:eastAsia="華康標楷體" w:hAnsi="華康標楷體" w:cs="華康標楷體" w:hint="eastAsia"/>
                <w:color w:val="000000"/>
                <w:spacing w:val="-2"/>
                <w:kern w:val="0"/>
              </w:rPr>
              <w:t>0</w:t>
            </w:r>
          </w:p>
        </w:tc>
      </w:tr>
    </w:tbl>
    <w:p w:rsidR="006A7AD5" w:rsidRDefault="006A7AD5" w:rsidP="006A7AD5">
      <w:pPr>
        <w:spacing w:line="42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7E3E6C">
        <w:rPr>
          <w:rFonts w:ascii="標楷體" w:eastAsia="標楷體" w:hAnsi="標楷體" w:hint="eastAsia"/>
          <w:b/>
          <w:color w:val="000000"/>
          <w:sz w:val="30"/>
          <w:szCs w:val="30"/>
        </w:rPr>
        <w:t>201</w:t>
      </w:r>
      <w:r w:rsidRPr="007E3E6C">
        <w:rPr>
          <w:rFonts w:ascii="標楷體" w:eastAsia="標楷體" w:hAnsi="標楷體"/>
          <w:b/>
          <w:color w:val="000000"/>
          <w:sz w:val="30"/>
          <w:szCs w:val="30"/>
        </w:rPr>
        <w:t>8</w:t>
      </w:r>
      <w:r w:rsidRPr="007E3E6C">
        <w:rPr>
          <w:rFonts w:ascii="標楷體" w:eastAsia="標楷體" w:hAnsi="標楷體" w:hint="eastAsia"/>
          <w:b/>
          <w:color w:val="000000"/>
          <w:sz w:val="30"/>
          <w:szCs w:val="30"/>
        </w:rPr>
        <w:t>桃園國際動漫大展</w:t>
      </w:r>
    </w:p>
    <w:p w:rsidR="006A7AD5" w:rsidRDefault="006A7AD5" w:rsidP="006A7AD5">
      <w:pPr>
        <w:spacing w:afterLines="50" w:after="180" w:line="500" w:lineRule="exact"/>
        <w:ind w:firstLineChars="202" w:firstLine="607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>「動漫野餐日」給您眾不同的夏日動漫樂活新體驗</w:t>
      </w:r>
    </w:p>
    <w:p w:rsidR="00263154" w:rsidRPr="00241587" w:rsidRDefault="00263154" w:rsidP="00263154">
      <w:pPr>
        <w:spacing w:afterLines="50" w:after="180" w:line="5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「2018桃園國際動漫大展」於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2"/>
        </w:smartTagPr>
        <w:r w:rsidRPr="007A582C">
          <w:rPr>
            <w:rFonts w:ascii="標楷體" w:eastAsia="標楷體" w:hAnsi="標楷體" w:hint="eastAsia"/>
            <w:color w:val="000000"/>
            <w:sz w:val="28"/>
            <w:szCs w:val="28"/>
          </w:rPr>
          <w:t>7月13日</w:t>
        </w:r>
      </w:smartTag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正式展開，除了多元豐富的展覽以外，還有「傳說對決親子盃」、「動漫音樂會」、「動漫舞展」、「動漫表演嘉年華」與「動漫野餐日」等五大主題活動，其中「動漫野餐日」結合動漫、音樂、美食與悠閒樂活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等元素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41587">
        <w:rPr>
          <w:rFonts w:ascii="標楷體" w:eastAsia="標楷體" w:hAnsi="標楷體" w:hint="eastAsia"/>
          <w:color w:val="000000"/>
          <w:sz w:val="28"/>
          <w:szCs w:val="28"/>
        </w:rPr>
        <w:t>體驗一場與眾不同的夏日野餐吧!</w:t>
      </w:r>
    </w:p>
    <w:p w:rsidR="00263154" w:rsidRPr="007A582C" w:rsidRDefault="00263154" w:rsidP="00263154">
      <w:pPr>
        <w:spacing w:afterLines="50" w:after="180" w:line="5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「動漫野餐日」於7月21日</w:t>
      </w:r>
      <w:r w:rsidR="00724EBD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下午5點至7點，於桃園展演中心的戶外廣場舉辦，民眾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EF2ED3">
        <w:rPr>
          <w:rFonts w:ascii="標楷體" w:eastAsia="標楷體" w:hAnsi="標楷體" w:hint="eastAsia"/>
          <w:color w:val="000000"/>
          <w:sz w:val="28"/>
          <w:szCs w:val="28"/>
        </w:rPr>
        <w:t>免費入場參加。配合展區活動，民眾還可參加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臉書打卡</w:t>
      </w:r>
      <w:r w:rsidR="00EF2ED3">
        <w:rPr>
          <w:rFonts w:ascii="標楷體" w:eastAsia="標楷體" w:hAnsi="標楷體" w:hint="eastAsia"/>
          <w:color w:val="000000"/>
          <w:sz w:val="28"/>
          <w:szCs w:val="28"/>
        </w:rPr>
        <w:t>贈送動漫大展限定飲品！除了可以自帶食物外，</w:t>
      </w:r>
      <w:r w:rsidR="00C74FED" w:rsidRPr="007A582C">
        <w:rPr>
          <w:rFonts w:ascii="標楷體" w:eastAsia="標楷體" w:hAnsi="標楷體" w:hint="eastAsia"/>
          <w:color w:val="000000"/>
          <w:sz w:val="28"/>
          <w:szCs w:val="28"/>
        </w:rPr>
        <w:t>會場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更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規劃了限定</w:t>
      </w:r>
      <w:r w:rsidR="00C74FED">
        <w:rPr>
          <w:rFonts w:ascii="標楷體" w:eastAsia="標楷體" w:hAnsi="標楷體" w:hint="eastAsia"/>
          <w:color w:val="000000"/>
          <w:sz w:val="28"/>
          <w:szCs w:val="28"/>
        </w:rPr>
        <w:t>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動漫特色餐車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307BB3">
        <w:rPr>
          <w:rFonts w:ascii="標楷體" w:eastAsia="標楷體" w:hAnsi="標楷體" w:hint="eastAsia"/>
          <w:color w:val="000000"/>
          <w:sz w:val="28"/>
          <w:szCs w:val="28"/>
        </w:rPr>
        <w:t>販售美味餐點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63154" w:rsidRPr="007A582C" w:rsidRDefault="00F83F8E" w:rsidP="00263154">
      <w:pPr>
        <w:spacing w:afterLines="50" w:after="180" w:line="5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263154">
        <w:rPr>
          <w:rFonts w:ascii="標楷體" w:eastAsia="標楷體" w:hAnsi="標楷體" w:hint="eastAsia"/>
          <w:color w:val="000000"/>
          <w:sz w:val="28"/>
          <w:szCs w:val="28"/>
        </w:rPr>
        <w:t>國內多個優秀的動漫</w:t>
      </w:r>
      <w:r>
        <w:rPr>
          <w:rFonts w:ascii="標楷體" w:eastAsia="標楷體" w:hAnsi="標楷體" w:hint="eastAsia"/>
          <w:color w:val="000000"/>
          <w:sz w:val="28"/>
          <w:szCs w:val="28"/>
        </w:rPr>
        <w:t>歌舞團體在野餐現場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進行精采的動畫歌曲演出，</w:t>
      </w:r>
      <w:r w:rsidR="009E62EE">
        <w:rPr>
          <w:rFonts w:ascii="標楷體" w:eastAsia="標楷體" w:hAnsi="標楷體" w:hint="eastAsia"/>
          <w:color w:val="000000"/>
          <w:sz w:val="28"/>
          <w:szCs w:val="28"/>
        </w:rPr>
        <w:t>其中</w:t>
      </w:r>
      <w:r w:rsidR="00DC1D86" w:rsidRPr="007A582C">
        <w:rPr>
          <w:rFonts w:ascii="標楷體" w:eastAsia="標楷體" w:hAnsi="標楷體" w:hint="eastAsia"/>
          <w:color w:val="000000"/>
          <w:sz w:val="28"/>
          <w:szCs w:val="28"/>
        </w:rPr>
        <w:t>包括了可愛的女僕歌舞團表演，</w:t>
      </w:r>
      <w:r w:rsidR="00DC1D86">
        <w:rPr>
          <w:rFonts w:ascii="標楷體" w:eastAsia="標楷體" w:hAnsi="標楷體" w:hint="eastAsia"/>
          <w:color w:val="000000"/>
          <w:sz w:val="28"/>
          <w:szCs w:val="28"/>
        </w:rPr>
        <w:t>女僕們還會在表演後加碼演出，與民眾們趣味互動，更</w:t>
      </w:r>
      <w:r w:rsidR="00DC1D86" w:rsidRPr="007A582C">
        <w:rPr>
          <w:rFonts w:ascii="標楷體" w:eastAsia="標楷體" w:hAnsi="標楷體" w:hint="eastAsia"/>
          <w:color w:val="000000"/>
          <w:sz w:val="28"/>
          <w:szCs w:val="28"/>
        </w:rPr>
        <w:t>有機會與這些女僕們合照留念</w:t>
      </w:r>
      <w:r w:rsidR="00DC1D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C1D86" w:rsidRPr="007A582C">
        <w:rPr>
          <w:rFonts w:ascii="標楷體" w:eastAsia="標楷體" w:hAnsi="標楷體" w:hint="eastAsia"/>
          <w:color w:val="000000"/>
          <w:sz w:val="28"/>
          <w:szCs w:val="28"/>
        </w:rPr>
        <w:t>別出心裁的活動</w:t>
      </w:r>
      <w:r w:rsidR="00DC1D86">
        <w:rPr>
          <w:rFonts w:ascii="標楷體" w:eastAsia="標楷體" w:hAnsi="標楷體" w:hint="eastAsia"/>
          <w:color w:val="000000"/>
          <w:sz w:val="28"/>
          <w:szCs w:val="28"/>
        </w:rPr>
        <w:t>讓市民朋友們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擁有味覺</w:t>
      </w:r>
      <w:r w:rsidR="00263154">
        <w:rPr>
          <w:rFonts w:ascii="標楷體" w:eastAsia="標楷體" w:hAnsi="標楷體" w:hint="eastAsia"/>
          <w:color w:val="000000"/>
          <w:sz w:val="28"/>
          <w:szCs w:val="28"/>
        </w:rPr>
        <w:t>、視覺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與聽覺的</w:t>
      </w:r>
      <w:r w:rsidR="0026315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DC1D86">
        <w:rPr>
          <w:rFonts w:ascii="標楷體" w:eastAsia="標楷體" w:hAnsi="標楷體" w:hint="eastAsia"/>
          <w:color w:val="000000"/>
          <w:sz w:val="28"/>
          <w:szCs w:val="28"/>
        </w:rPr>
        <w:t>重享受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C1D86">
        <w:rPr>
          <w:rFonts w:ascii="標楷體" w:eastAsia="標楷體" w:hAnsi="標楷體" w:hint="eastAsia"/>
          <w:color w:val="000000"/>
          <w:sz w:val="28"/>
          <w:szCs w:val="28"/>
        </w:rPr>
        <w:t>給參與活動者</w:t>
      </w:r>
      <w:r w:rsidR="00263154" w:rsidRPr="007A582C">
        <w:rPr>
          <w:rFonts w:ascii="標楷體" w:eastAsia="標楷體" w:hAnsi="標楷體" w:hint="eastAsia"/>
          <w:color w:val="000000"/>
          <w:sz w:val="28"/>
          <w:szCs w:val="28"/>
        </w:rPr>
        <w:t>一個悠閒美好的夏日午後。</w:t>
      </w:r>
    </w:p>
    <w:p w:rsidR="00263154" w:rsidRPr="006A7AD5" w:rsidRDefault="00263154" w:rsidP="00263154">
      <w:pPr>
        <w:spacing w:afterLines="50" w:after="180" w:line="500" w:lineRule="exact"/>
        <w:ind w:firstLineChars="202" w:firstLine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想來一場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最萌的動漫野餐體驗嗎？</w:t>
      </w:r>
      <w:r>
        <w:rPr>
          <w:rFonts w:ascii="標楷體" w:eastAsia="標楷體" w:hAnsi="標楷體" w:hint="eastAsia"/>
          <w:color w:val="000000"/>
          <w:sz w:val="28"/>
          <w:szCs w:val="28"/>
        </w:rPr>
        <w:t>快來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2018桃園國際動漫大展的「動漫野餐日」，相信會帶給大家</w:t>
      </w:r>
      <w:r>
        <w:rPr>
          <w:rFonts w:ascii="標楷體" w:eastAsia="標楷體" w:hAnsi="標楷體" w:hint="eastAsia"/>
          <w:color w:val="000000"/>
          <w:sz w:val="28"/>
          <w:szCs w:val="28"/>
        </w:rPr>
        <w:t>暑假</w:t>
      </w:r>
      <w:r w:rsidRPr="007A582C">
        <w:rPr>
          <w:rFonts w:ascii="標楷體" w:eastAsia="標楷體" w:hAnsi="標楷體" w:hint="eastAsia"/>
          <w:color w:val="000000"/>
          <w:sz w:val="28"/>
          <w:szCs w:val="28"/>
        </w:rPr>
        <w:t>最難忘的夏日回憶。</w:t>
      </w:r>
    </w:p>
    <w:p w:rsidR="00263154" w:rsidRDefault="00263154" w:rsidP="00263154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A7AD5">
        <w:rPr>
          <w:rFonts w:ascii="標楷體" w:eastAsia="標楷體" w:hAnsi="標楷體" w:hint="eastAsia"/>
          <w:b/>
          <w:color w:val="000000"/>
        </w:rPr>
        <w:t xml:space="preserve">　</w:t>
      </w:r>
    </w:p>
    <w:p w:rsidR="0086033F" w:rsidRDefault="0086033F" w:rsidP="00263154">
      <w:pPr>
        <w:spacing w:line="500" w:lineRule="exact"/>
        <w:rPr>
          <w:rFonts w:ascii="標楷體" w:eastAsia="標楷體" w:hAnsi="標楷體" w:hint="eastAsia"/>
          <w:b/>
          <w:color w:val="000000"/>
        </w:rPr>
      </w:pPr>
      <w:bookmarkStart w:id="0" w:name="_GoBack"/>
      <w:bookmarkEnd w:id="0"/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A7AD5">
        <w:rPr>
          <w:rFonts w:ascii="標楷體" w:eastAsia="標楷體" w:hAnsi="標楷體" w:hint="eastAsia"/>
          <w:b/>
          <w:color w:val="FF3300"/>
        </w:rPr>
        <w:lastRenderedPageBreak/>
        <w:t>2018桃園國際動漫大展｜動漫野餐日｜</w:t>
      </w:r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A7AD5">
        <w:rPr>
          <w:rFonts w:ascii="標楷體" w:eastAsia="標楷體" w:hAnsi="標楷體" w:hint="eastAsia"/>
          <w:b/>
          <w:color w:val="000000"/>
        </w:rPr>
        <w:t>活動日期：2018/07/21（六）</w:t>
      </w:r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A7AD5">
        <w:rPr>
          <w:rFonts w:ascii="標楷體" w:eastAsia="標楷體" w:hAnsi="標楷體" w:hint="eastAsia"/>
          <w:b/>
          <w:color w:val="000000"/>
        </w:rPr>
        <w:t>活動時間：17:00～19:00</w:t>
      </w:r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b/>
          <w:color w:val="000000"/>
        </w:rPr>
      </w:pPr>
      <w:r w:rsidRPr="006A7AD5">
        <w:rPr>
          <w:rFonts w:ascii="標楷體" w:eastAsia="標楷體" w:hAnsi="標楷體" w:hint="eastAsia"/>
          <w:b/>
          <w:color w:val="000000"/>
        </w:rPr>
        <w:t>舉辦地點：桃園展演中心（桃園市桃園區中正路1188號）戶外廣場</w:t>
      </w:r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color w:val="FF3300"/>
        </w:rPr>
      </w:pPr>
      <w:r w:rsidRPr="006A7AD5">
        <w:rPr>
          <w:rFonts w:ascii="標楷體" w:eastAsia="標楷體" w:hAnsi="標楷體" w:hint="eastAsia"/>
          <w:b/>
          <w:color w:val="FF3300"/>
        </w:rPr>
        <w:t>2018桃園國際動漫大展</w:t>
      </w:r>
    </w:p>
    <w:p w:rsidR="00263154" w:rsidRPr="006A7AD5" w:rsidRDefault="00263154" w:rsidP="00263154">
      <w:pPr>
        <w:spacing w:line="480" w:lineRule="exact"/>
        <w:rPr>
          <w:rFonts w:ascii="標楷體" w:eastAsia="標楷體" w:hAnsi="標楷體"/>
          <w:color w:val="000000"/>
        </w:rPr>
      </w:pPr>
      <w:r w:rsidRPr="006A7AD5">
        <w:rPr>
          <w:rFonts w:ascii="標楷體" w:eastAsia="標楷體" w:hAnsi="標楷體" w:hint="eastAsia"/>
          <w:color w:val="000000"/>
        </w:rPr>
        <w:t>活動時間：2018/07/13（五）～2018/07/22（日）</w:t>
      </w:r>
    </w:p>
    <w:p w:rsidR="00263154" w:rsidRPr="006A7AD5" w:rsidRDefault="00263154" w:rsidP="00263154">
      <w:pPr>
        <w:spacing w:line="480" w:lineRule="exact"/>
        <w:rPr>
          <w:rFonts w:ascii="標楷體" w:eastAsia="標楷體" w:hAnsi="標楷體"/>
          <w:color w:val="000000"/>
        </w:rPr>
      </w:pPr>
      <w:r w:rsidRPr="006A7AD5">
        <w:rPr>
          <w:rFonts w:ascii="標楷體" w:eastAsia="標楷體" w:hAnsi="標楷體" w:hint="eastAsia"/>
          <w:color w:val="000000"/>
        </w:rPr>
        <w:t>舉辦地點：桃園展演中心（桃園市桃園區中正路1188號）</w:t>
      </w:r>
    </w:p>
    <w:p w:rsidR="00263154" w:rsidRPr="006A7AD5" w:rsidRDefault="00263154" w:rsidP="00263154">
      <w:pPr>
        <w:spacing w:line="480" w:lineRule="exact"/>
        <w:rPr>
          <w:rFonts w:ascii="標楷體" w:eastAsia="標楷體" w:hAnsi="標楷體"/>
          <w:color w:val="000000"/>
        </w:rPr>
      </w:pPr>
      <w:r w:rsidRPr="006A7AD5">
        <w:rPr>
          <w:rFonts w:ascii="標楷體" w:eastAsia="標楷體" w:hAnsi="標楷體" w:hint="eastAsia"/>
          <w:color w:val="000000"/>
        </w:rPr>
        <w:t>開展時間： 10:00~17:00</w:t>
      </w:r>
    </w:p>
    <w:p w:rsidR="00263154" w:rsidRPr="006A7AD5" w:rsidRDefault="00263154" w:rsidP="00263154">
      <w:pPr>
        <w:spacing w:line="500" w:lineRule="exact"/>
        <w:rPr>
          <w:rFonts w:ascii="標楷體" w:eastAsia="標楷體" w:hAnsi="標楷體"/>
          <w:color w:val="000000"/>
        </w:rPr>
      </w:pPr>
      <w:r w:rsidRPr="006A7AD5">
        <w:rPr>
          <w:rFonts w:ascii="標楷體" w:eastAsia="標楷體" w:hAnsi="標楷體" w:hint="eastAsia"/>
          <w:color w:val="000000"/>
        </w:rPr>
        <w:t>更多詳細精彩活動歡迎上「</w:t>
      </w:r>
      <w:r w:rsidRPr="006A7AD5">
        <w:rPr>
          <w:rFonts w:ascii="標楷體" w:eastAsia="標楷體" w:hAnsi="標楷體" w:hint="eastAsia"/>
        </w:rPr>
        <w:t>2018桃園國際動漫大展」粉絲頁 https://www.facebook.com/TY.ACGT</w:t>
      </w:r>
      <w:r w:rsidRPr="006A7AD5">
        <w:rPr>
          <w:rFonts w:ascii="標楷體" w:eastAsia="標楷體" w:hAnsi="標楷體" w:hint="eastAsia"/>
          <w:color w:val="000000"/>
        </w:rPr>
        <w:t>查詢。</w:t>
      </w:r>
    </w:p>
    <w:p w:rsidR="00263154" w:rsidRPr="006A7AD5" w:rsidRDefault="00263154" w:rsidP="00263154">
      <w:pPr>
        <w:spacing w:line="276" w:lineRule="auto"/>
        <w:rPr>
          <w:rFonts w:ascii="華康標楷體" w:eastAsia="華康標楷體" w:hAnsi="華康標楷體" w:cs="華康標楷體"/>
          <w:color w:val="FF0000"/>
        </w:rPr>
      </w:pPr>
    </w:p>
    <w:p w:rsidR="001B2F3F" w:rsidRPr="00263154" w:rsidRDefault="001B2F3F" w:rsidP="00972C07">
      <w:pPr>
        <w:spacing w:line="276" w:lineRule="auto"/>
        <w:rPr>
          <w:rFonts w:ascii="華康標楷體" w:eastAsia="華康標楷體" w:hAnsi="華康標楷體" w:cs="華康標楷體"/>
          <w:color w:val="FF0000"/>
        </w:rPr>
      </w:pPr>
    </w:p>
    <w:sectPr w:rsidR="001B2F3F" w:rsidRPr="00263154" w:rsidSect="008930BA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D1" w:rsidRDefault="00DB62D1" w:rsidP="0065498F">
      <w:r>
        <w:separator/>
      </w:r>
    </w:p>
  </w:endnote>
  <w:endnote w:type="continuationSeparator" w:id="0">
    <w:p w:rsidR="00DB62D1" w:rsidRDefault="00DB62D1" w:rsidP="0065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D1" w:rsidRDefault="00DB62D1" w:rsidP="0065498F">
      <w:r>
        <w:separator/>
      </w:r>
    </w:p>
  </w:footnote>
  <w:footnote w:type="continuationSeparator" w:id="0">
    <w:p w:rsidR="00DB62D1" w:rsidRDefault="00DB62D1" w:rsidP="0065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90"/>
    <w:rsid w:val="00001596"/>
    <w:rsid w:val="00015BBA"/>
    <w:rsid w:val="0002348F"/>
    <w:rsid w:val="00065FBB"/>
    <w:rsid w:val="000874BB"/>
    <w:rsid w:val="00093CA1"/>
    <w:rsid w:val="000A216E"/>
    <w:rsid w:val="000A7743"/>
    <w:rsid w:val="000D5C8E"/>
    <w:rsid w:val="000E0D78"/>
    <w:rsid w:val="00106C3F"/>
    <w:rsid w:val="00106FEB"/>
    <w:rsid w:val="00141D31"/>
    <w:rsid w:val="001706A0"/>
    <w:rsid w:val="00182E8F"/>
    <w:rsid w:val="00183947"/>
    <w:rsid w:val="00184410"/>
    <w:rsid w:val="001A0A47"/>
    <w:rsid w:val="001A3C1B"/>
    <w:rsid w:val="001B05B9"/>
    <w:rsid w:val="001B13FC"/>
    <w:rsid w:val="001B2F3F"/>
    <w:rsid w:val="001D213A"/>
    <w:rsid w:val="001D672D"/>
    <w:rsid w:val="0020544D"/>
    <w:rsid w:val="00237E6B"/>
    <w:rsid w:val="00241587"/>
    <w:rsid w:val="002447E1"/>
    <w:rsid w:val="00250E1A"/>
    <w:rsid w:val="00263154"/>
    <w:rsid w:val="002713A1"/>
    <w:rsid w:val="00281752"/>
    <w:rsid w:val="00290B5C"/>
    <w:rsid w:val="00292DB7"/>
    <w:rsid w:val="002A5D83"/>
    <w:rsid w:val="002B40AA"/>
    <w:rsid w:val="002C10CF"/>
    <w:rsid w:val="002E02FA"/>
    <w:rsid w:val="00307BB3"/>
    <w:rsid w:val="003377E7"/>
    <w:rsid w:val="00344105"/>
    <w:rsid w:val="00345141"/>
    <w:rsid w:val="003A103B"/>
    <w:rsid w:val="003A6E49"/>
    <w:rsid w:val="003B1C4A"/>
    <w:rsid w:val="003D0F2A"/>
    <w:rsid w:val="0040359A"/>
    <w:rsid w:val="004162C1"/>
    <w:rsid w:val="0044059E"/>
    <w:rsid w:val="00445B9F"/>
    <w:rsid w:val="00461A84"/>
    <w:rsid w:val="00467645"/>
    <w:rsid w:val="004721E7"/>
    <w:rsid w:val="00492543"/>
    <w:rsid w:val="004C7450"/>
    <w:rsid w:val="004E45A7"/>
    <w:rsid w:val="004E56FF"/>
    <w:rsid w:val="005124BA"/>
    <w:rsid w:val="0057314C"/>
    <w:rsid w:val="0059254C"/>
    <w:rsid w:val="005D4FF6"/>
    <w:rsid w:val="005F2CC8"/>
    <w:rsid w:val="006053DA"/>
    <w:rsid w:val="00631C1D"/>
    <w:rsid w:val="0065498F"/>
    <w:rsid w:val="00671544"/>
    <w:rsid w:val="006A7AD5"/>
    <w:rsid w:val="006F65BE"/>
    <w:rsid w:val="006F7B46"/>
    <w:rsid w:val="0071452F"/>
    <w:rsid w:val="0071529A"/>
    <w:rsid w:val="00717980"/>
    <w:rsid w:val="00724EBD"/>
    <w:rsid w:val="00760129"/>
    <w:rsid w:val="007C73C7"/>
    <w:rsid w:val="007D15DB"/>
    <w:rsid w:val="007D15E1"/>
    <w:rsid w:val="007D631E"/>
    <w:rsid w:val="007F1E98"/>
    <w:rsid w:val="007F781D"/>
    <w:rsid w:val="00817BC1"/>
    <w:rsid w:val="00843F92"/>
    <w:rsid w:val="0086033F"/>
    <w:rsid w:val="008807C7"/>
    <w:rsid w:val="0088095D"/>
    <w:rsid w:val="008930BA"/>
    <w:rsid w:val="008A77FF"/>
    <w:rsid w:val="008F54CE"/>
    <w:rsid w:val="009264E5"/>
    <w:rsid w:val="009562A1"/>
    <w:rsid w:val="00962DB5"/>
    <w:rsid w:val="009633D1"/>
    <w:rsid w:val="0096636D"/>
    <w:rsid w:val="00972C07"/>
    <w:rsid w:val="009D7F5F"/>
    <w:rsid w:val="009E62EE"/>
    <w:rsid w:val="009F584D"/>
    <w:rsid w:val="00A07735"/>
    <w:rsid w:val="00A35E31"/>
    <w:rsid w:val="00A5291A"/>
    <w:rsid w:val="00AA6FB6"/>
    <w:rsid w:val="00AC1883"/>
    <w:rsid w:val="00AE1C9B"/>
    <w:rsid w:val="00AE1D9D"/>
    <w:rsid w:val="00AF3FFE"/>
    <w:rsid w:val="00AF47B4"/>
    <w:rsid w:val="00AF669A"/>
    <w:rsid w:val="00B2202A"/>
    <w:rsid w:val="00B56C79"/>
    <w:rsid w:val="00B6718E"/>
    <w:rsid w:val="00B82105"/>
    <w:rsid w:val="00BA0A94"/>
    <w:rsid w:val="00BA2AFF"/>
    <w:rsid w:val="00BB71DF"/>
    <w:rsid w:val="00C24707"/>
    <w:rsid w:val="00C2628B"/>
    <w:rsid w:val="00C33DD2"/>
    <w:rsid w:val="00C477A3"/>
    <w:rsid w:val="00C51017"/>
    <w:rsid w:val="00C7411C"/>
    <w:rsid w:val="00C74FED"/>
    <w:rsid w:val="00C867BD"/>
    <w:rsid w:val="00CA4A89"/>
    <w:rsid w:val="00CD6C51"/>
    <w:rsid w:val="00CE791D"/>
    <w:rsid w:val="00CF7D6F"/>
    <w:rsid w:val="00D1748B"/>
    <w:rsid w:val="00D50F90"/>
    <w:rsid w:val="00D52BB5"/>
    <w:rsid w:val="00D557E0"/>
    <w:rsid w:val="00D64B4D"/>
    <w:rsid w:val="00D6647C"/>
    <w:rsid w:val="00D768F1"/>
    <w:rsid w:val="00D96A0E"/>
    <w:rsid w:val="00DA5BA3"/>
    <w:rsid w:val="00DB62D1"/>
    <w:rsid w:val="00DC1D86"/>
    <w:rsid w:val="00DE2142"/>
    <w:rsid w:val="00E16A1A"/>
    <w:rsid w:val="00E16EE7"/>
    <w:rsid w:val="00E451C5"/>
    <w:rsid w:val="00E609CE"/>
    <w:rsid w:val="00E615F2"/>
    <w:rsid w:val="00E678FA"/>
    <w:rsid w:val="00EB51F9"/>
    <w:rsid w:val="00EC76BE"/>
    <w:rsid w:val="00EE2A4B"/>
    <w:rsid w:val="00EF2ED3"/>
    <w:rsid w:val="00EF53DD"/>
    <w:rsid w:val="00EF6A51"/>
    <w:rsid w:val="00F0592A"/>
    <w:rsid w:val="00F155DD"/>
    <w:rsid w:val="00F26D67"/>
    <w:rsid w:val="00F33185"/>
    <w:rsid w:val="00F423E4"/>
    <w:rsid w:val="00F733A6"/>
    <w:rsid w:val="00F83F8E"/>
    <w:rsid w:val="00FA695E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3B93932"/>
  <w15:docId w15:val="{FCBBDACB-885A-4AAA-AEDF-8EAFE224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90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"/>
    <w:qFormat/>
    <w:locked/>
    <w:rsid w:val="00141D3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D50F90"/>
  </w:style>
  <w:style w:type="character" w:customStyle="1" w:styleId="a4">
    <w:name w:val="註解文字 字元"/>
    <w:basedOn w:val="a0"/>
    <w:link w:val="a3"/>
    <w:uiPriority w:val="99"/>
    <w:semiHidden/>
    <w:locked/>
    <w:rsid w:val="00D50F90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C51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74BB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0874BB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65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65498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54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65498F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1D31"/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F2CC8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5F2CC8"/>
    <w:rPr>
      <w:b/>
      <w:bCs/>
    </w:rPr>
  </w:style>
  <w:style w:type="character" w:customStyle="1" w:styleId="ae">
    <w:name w:val="註解主旨 字元"/>
    <w:basedOn w:val="a4"/>
    <w:link w:val="ad"/>
    <w:uiPriority w:val="99"/>
    <w:semiHidden/>
    <w:rsid w:val="005F2CC8"/>
    <w:rPr>
      <w:rFonts w:ascii="Times New Roman" w:eastAsia="新細明體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8510</dc:creator>
  <cp:lastModifiedBy>文化發展科李聿昕10014429</cp:lastModifiedBy>
  <cp:revision>13</cp:revision>
  <cp:lastPrinted>2018-07-03T05:57:00Z</cp:lastPrinted>
  <dcterms:created xsi:type="dcterms:W3CDTF">2018-07-19T04:41:00Z</dcterms:created>
  <dcterms:modified xsi:type="dcterms:W3CDTF">2018-07-20T03:38:00Z</dcterms:modified>
</cp:coreProperties>
</file>