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1080"/>
        <w:gridCol w:w="2120"/>
      </w:tblGrid>
      <w:tr w:rsidR="00C062BD" w:rsidRPr="0047171B" w:rsidTr="00693C82">
        <w:tc>
          <w:tcPr>
            <w:tcW w:w="5600" w:type="dxa"/>
            <w:shd w:val="clear" w:color="auto" w:fill="auto"/>
          </w:tcPr>
          <w:p w:rsidR="00C062BD" w:rsidRPr="00CF49CA" w:rsidRDefault="00C062BD" w:rsidP="00693C82">
            <w:pPr>
              <w:rPr>
                <w:szCs w:val="24"/>
              </w:rPr>
            </w:pPr>
            <w:r w:rsidRPr="00CF49CA">
              <w:rPr>
                <w:rFonts w:cs="新細明體" w:hint="eastAsia"/>
                <w:szCs w:val="24"/>
              </w:rPr>
              <w:t>桃園市政府文化局</w:t>
            </w: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C062BD" w:rsidRPr="00CF49CA" w:rsidRDefault="00C062BD" w:rsidP="00693C82">
            <w:pPr>
              <w:jc w:val="center"/>
              <w:rPr>
                <w:szCs w:val="24"/>
              </w:rPr>
            </w:pPr>
            <w:r w:rsidRPr="00CF49CA">
              <w:rPr>
                <w:rFonts w:hint="eastAsia"/>
                <w:szCs w:val="24"/>
              </w:rPr>
              <w:t>新聞稿</w:t>
            </w:r>
          </w:p>
        </w:tc>
        <w:tc>
          <w:tcPr>
            <w:tcW w:w="2120" w:type="dxa"/>
            <w:shd w:val="clear" w:color="auto" w:fill="auto"/>
          </w:tcPr>
          <w:p w:rsidR="00C062BD" w:rsidRPr="00CF49CA" w:rsidRDefault="00C062BD" w:rsidP="00693C82">
            <w:pPr>
              <w:rPr>
                <w:rFonts w:cs="Calibri"/>
                <w:szCs w:val="24"/>
              </w:rPr>
            </w:pPr>
            <w:r w:rsidRPr="00CF49CA">
              <w:rPr>
                <w:rFonts w:cs="新細明體" w:hint="eastAsia"/>
                <w:szCs w:val="24"/>
              </w:rPr>
              <w:t>電話：</w:t>
            </w:r>
            <w:r w:rsidRPr="00CF49CA">
              <w:rPr>
                <w:rFonts w:cs="Calibri"/>
                <w:szCs w:val="24"/>
              </w:rPr>
              <w:t>3322592</w:t>
            </w:r>
          </w:p>
        </w:tc>
      </w:tr>
      <w:tr w:rsidR="00C062BD" w:rsidRPr="0047171B" w:rsidTr="00693C82">
        <w:tc>
          <w:tcPr>
            <w:tcW w:w="5600" w:type="dxa"/>
            <w:shd w:val="clear" w:color="auto" w:fill="auto"/>
          </w:tcPr>
          <w:p w:rsidR="00C062BD" w:rsidRPr="00CF49CA" w:rsidRDefault="00C062BD" w:rsidP="00693C82">
            <w:pPr>
              <w:rPr>
                <w:szCs w:val="24"/>
              </w:rPr>
            </w:pPr>
            <w:proofErr w:type="gramStart"/>
            <w:r w:rsidRPr="00CF49CA">
              <w:rPr>
                <w:rFonts w:cs="新細明體" w:hint="eastAsia"/>
                <w:szCs w:val="24"/>
              </w:rPr>
              <w:t>桃園市桃園市</w:t>
            </w:r>
            <w:proofErr w:type="gramEnd"/>
            <w:r w:rsidRPr="00CF49CA">
              <w:rPr>
                <w:rFonts w:cs="新細明體" w:hint="eastAsia"/>
                <w:szCs w:val="24"/>
              </w:rPr>
              <w:t>縣府路</w:t>
            </w:r>
            <w:r w:rsidRPr="00CF49CA">
              <w:rPr>
                <w:rFonts w:cs="Calibri"/>
                <w:szCs w:val="24"/>
              </w:rPr>
              <w:t>21</w:t>
            </w:r>
            <w:r w:rsidRPr="00CF49CA">
              <w:rPr>
                <w:rFonts w:cs="新細明體" w:hint="eastAsia"/>
                <w:szCs w:val="24"/>
              </w:rPr>
              <w:t>號</w:t>
            </w:r>
          </w:p>
        </w:tc>
        <w:tc>
          <w:tcPr>
            <w:tcW w:w="1080" w:type="dxa"/>
            <w:vMerge/>
            <w:shd w:val="clear" w:color="auto" w:fill="000000"/>
          </w:tcPr>
          <w:p w:rsidR="00C062BD" w:rsidRPr="00CF49CA" w:rsidRDefault="00C062BD" w:rsidP="00693C82">
            <w:pPr>
              <w:rPr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062BD" w:rsidRPr="00CF49CA" w:rsidRDefault="00C062BD" w:rsidP="00693C82">
            <w:pPr>
              <w:rPr>
                <w:rFonts w:cs="Calibri"/>
                <w:szCs w:val="24"/>
              </w:rPr>
            </w:pPr>
            <w:r w:rsidRPr="00CF49CA">
              <w:rPr>
                <w:rFonts w:cs="新細明體" w:hint="eastAsia"/>
                <w:szCs w:val="24"/>
              </w:rPr>
              <w:t>傳真：</w:t>
            </w:r>
            <w:r w:rsidRPr="00CF49CA">
              <w:rPr>
                <w:rFonts w:cs="Calibri"/>
                <w:szCs w:val="24"/>
              </w:rPr>
              <w:t>3363806</w:t>
            </w:r>
          </w:p>
        </w:tc>
      </w:tr>
      <w:tr w:rsidR="00C062BD" w:rsidRPr="0047171B" w:rsidTr="00693C82">
        <w:tc>
          <w:tcPr>
            <w:tcW w:w="5600" w:type="dxa"/>
            <w:shd w:val="clear" w:color="auto" w:fill="auto"/>
          </w:tcPr>
          <w:p w:rsidR="00C062BD" w:rsidRPr="00CF49CA" w:rsidRDefault="00C062BD" w:rsidP="00693C82">
            <w:pPr>
              <w:rPr>
                <w:szCs w:val="24"/>
              </w:rPr>
            </w:pPr>
            <w:r w:rsidRPr="00CF49CA">
              <w:rPr>
                <w:rFonts w:cs="新細明體" w:hint="eastAsia"/>
                <w:szCs w:val="24"/>
              </w:rPr>
              <w:t>中華民國</w:t>
            </w:r>
            <w:r w:rsidRPr="00CF49CA">
              <w:rPr>
                <w:rFonts w:cs="Calibri"/>
                <w:szCs w:val="24"/>
              </w:rPr>
              <w:t>10</w:t>
            </w:r>
            <w:r>
              <w:rPr>
                <w:rFonts w:cs="Calibri"/>
                <w:szCs w:val="24"/>
              </w:rPr>
              <w:t>9</w:t>
            </w:r>
            <w:r w:rsidRPr="00CF49CA">
              <w:rPr>
                <w:rFonts w:cs="新細明體" w:hint="eastAsia"/>
                <w:szCs w:val="24"/>
              </w:rPr>
              <w:t>年</w:t>
            </w:r>
            <w:r>
              <w:rPr>
                <w:rFonts w:cs="新細明體" w:hint="eastAsia"/>
                <w:szCs w:val="24"/>
              </w:rPr>
              <w:t>7</w:t>
            </w:r>
            <w:r w:rsidRPr="00CF49CA">
              <w:rPr>
                <w:rFonts w:cs="新細明體" w:hint="eastAsia"/>
                <w:szCs w:val="24"/>
              </w:rPr>
              <w:t>月</w:t>
            </w:r>
            <w:r>
              <w:rPr>
                <w:rFonts w:cs="新細明體" w:hint="eastAsia"/>
                <w:szCs w:val="24"/>
              </w:rPr>
              <w:t>30</w:t>
            </w:r>
            <w:bookmarkStart w:id="0" w:name="_GoBack"/>
            <w:bookmarkEnd w:id="0"/>
            <w:r w:rsidRPr="00CF49CA">
              <w:rPr>
                <w:rFonts w:cs="新細明體" w:hint="eastAsia"/>
                <w:szCs w:val="24"/>
              </w:rPr>
              <w:t>日發布，並透過網際網路同步發送</w:t>
            </w:r>
          </w:p>
          <w:p w:rsidR="00C062BD" w:rsidRPr="00CF49CA" w:rsidRDefault="00C062BD" w:rsidP="00693C82">
            <w:pPr>
              <w:rPr>
                <w:b/>
                <w:bCs/>
                <w:szCs w:val="24"/>
              </w:rPr>
            </w:pPr>
            <w:r w:rsidRPr="00CF49CA">
              <w:rPr>
                <w:rFonts w:cs="新細明體" w:hint="eastAsia"/>
                <w:szCs w:val="24"/>
              </w:rPr>
              <w:t>網址：</w:t>
            </w:r>
            <w:r w:rsidRPr="00CF49CA">
              <w:rPr>
                <w:rFonts w:cs="Calibri"/>
                <w:szCs w:val="24"/>
              </w:rPr>
              <w:t>http://culture.tycg.gov.tw/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C062BD" w:rsidRPr="00CF49CA" w:rsidRDefault="00507B0D" w:rsidP="00693C82">
            <w:pPr>
              <w:rPr>
                <w:rFonts w:cs="Calibri"/>
                <w:szCs w:val="24"/>
              </w:rPr>
            </w:pPr>
            <w:proofErr w:type="gramStart"/>
            <w:r>
              <w:rPr>
                <w:rFonts w:cs="新細明體" w:hint="eastAsia"/>
                <w:szCs w:val="24"/>
              </w:rPr>
              <w:t>本稿連絡</w:t>
            </w:r>
            <w:proofErr w:type="gramEnd"/>
            <w:r>
              <w:rPr>
                <w:rFonts w:cs="新細明體" w:hint="eastAsia"/>
                <w:szCs w:val="24"/>
              </w:rPr>
              <w:t>人：李聿昕</w:t>
            </w:r>
            <w:r w:rsidR="00C062BD" w:rsidRPr="00CF49CA">
              <w:rPr>
                <w:rFonts w:cs="Calibri"/>
                <w:szCs w:val="24"/>
              </w:rPr>
              <w:t xml:space="preserve"> </w:t>
            </w:r>
          </w:p>
          <w:p w:rsidR="00C062BD" w:rsidRPr="00CF49CA" w:rsidRDefault="00C062BD" w:rsidP="00693C82">
            <w:pPr>
              <w:rPr>
                <w:rFonts w:cs="Calibri"/>
                <w:szCs w:val="24"/>
              </w:rPr>
            </w:pPr>
            <w:r w:rsidRPr="00CF49CA">
              <w:rPr>
                <w:rFonts w:cs="新細明體" w:hint="eastAsia"/>
                <w:szCs w:val="24"/>
              </w:rPr>
              <w:t>電話：</w:t>
            </w:r>
            <w:r w:rsidRPr="00CF49CA">
              <w:rPr>
                <w:rFonts w:cs="Calibri"/>
                <w:szCs w:val="24"/>
              </w:rPr>
              <w:t>(03)3322592</w:t>
            </w:r>
            <w:r w:rsidRPr="00CF49CA">
              <w:rPr>
                <w:rFonts w:cs="新細明體" w:hint="eastAsia"/>
                <w:szCs w:val="24"/>
              </w:rPr>
              <w:t>轉</w:t>
            </w:r>
            <w:r w:rsidRPr="00CF49CA">
              <w:rPr>
                <w:rFonts w:cs="Calibri"/>
                <w:szCs w:val="24"/>
              </w:rPr>
              <w:t>8312</w:t>
            </w:r>
          </w:p>
        </w:tc>
      </w:tr>
    </w:tbl>
    <w:p w:rsidR="00C062BD" w:rsidRDefault="00C062BD" w:rsidP="008C03D4">
      <w:pPr>
        <w:pStyle w:val="a3"/>
        <w:spacing w:line="60" w:lineRule="auto"/>
        <w:jc w:val="center"/>
        <w:rPr>
          <w:rFonts w:ascii="標楷體" w:eastAsia="標楷體" w:hAnsi="標楷體"/>
          <w:b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2020藝術巡演在</w:t>
      </w:r>
      <w:r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桃園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蓮花季場</w:t>
      </w:r>
      <w:proofErr w:type="gramEnd"/>
      <w:r w:rsidR="00507B0D">
        <w:rPr>
          <w:rFonts w:ascii="標楷體" w:eastAsia="標楷體" w:hAnsi="標楷體"/>
          <w:b/>
          <w:color w:val="000000"/>
          <w:sz w:val="36"/>
          <w:szCs w:val="36"/>
          <w:lang w:eastAsia="zh-TW"/>
        </w:rPr>
        <w:br/>
      </w:r>
      <w:r w:rsidR="00507B0D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4場表演與您共渡美好周末假期</w:t>
      </w:r>
    </w:p>
    <w:p w:rsidR="00C062BD" w:rsidRDefault="00E416EB" w:rsidP="004D0C30">
      <w:pPr>
        <w:snapToGrid w:val="0"/>
        <w:spacing w:line="140" w:lineRule="atLeast"/>
        <w:contextualSpacing/>
        <w:rPr>
          <w:rFonts w:ascii="標楷體" w:eastAsia="標楷體" w:hAnsi="標楷體" w:cs="標楷體"/>
          <w:color w:val="000000"/>
          <w:spacing w:val="1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 xml:space="preserve">  </w:t>
      </w:r>
      <w:r w:rsidRPr="00E416EB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2020桃園蓮花季，因應</w:t>
      </w:r>
      <w:proofErr w:type="gramStart"/>
      <w:r w:rsidRPr="00E416EB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疫</w:t>
      </w:r>
      <w:proofErr w:type="gramEnd"/>
      <w:r w:rsidRPr="00E416EB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情解禁，桃園市政府文化局安排多場表演活動，大家除了到現場賞蓮花、品嘗蓮花特色料理外，</w:t>
      </w:r>
      <w:r w:rsidR="00C062BD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邀請民眾走出家門，在蓮花香伴隨之下，一同欣賞</w:t>
      </w:r>
      <w:r w:rsidR="00C062BD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2020藝術巡演在蓮</w:t>
      </w: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花季由優秀的街頭藝人們、紙風車劇團、一心戲劇團所帶來的</w:t>
      </w:r>
      <w:r w:rsidR="00C062BD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4場演出</w:t>
      </w: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。</w:t>
      </w:r>
    </w:p>
    <w:p w:rsidR="006D3068" w:rsidRPr="008C03D4" w:rsidRDefault="00E416EB" w:rsidP="004D0C30">
      <w:pPr>
        <w:snapToGrid w:val="0"/>
        <w:spacing w:line="140" w:lineRule="atLeast"/>
        <w:contextualSpacing/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 xml:space="preserve">  首先登場的是</w:t>
      </w:r>
      <w:r w:rsidR="004D0C30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8/1</w:t>
      </w:r>
      <w:r w:rsidRPr="00E416EB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(星期六)上午9點至下午5</w:t>
      </w: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點的</w:t>
      </w:r>
      <w:r w:rsidR="00A36F91" w:rsidRPr="00A36F91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《</w:t>
      </w: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街頭藝人嘉年</w:t>
      </w:r>
      <w:r w:rsidR="00A36F91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華</w:t>
      </w:r>
      <w:r w:rsidR="00A36F91" w:rsidRPr="00A36F91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》</w:t>
      </w: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，</w:t>
      </w:r>
      <w:r w:rsidRPr="00E416EB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邀請</w:t>
      </w: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到</w:t>
      </w:r>
      <w:r w:rsidRPr="00E416EB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8</w:t>
      </w: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組優秀的街頭藝人表演者，帶來</w:t>
      </w:r>
      <w:r w:rsidRPr="00E416EB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包括烏克麗麗</w:t>
      </w:r>
      <w:r w:rsidR="006D3068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、</w:t>
      </w:r>
      <w:r w:rsidRPr="00E416EB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立方體</w:t>
      </w:r>
      <w:r w:rsidR="006D3068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、吉他等</w:t>
      </w:r>
      <w:r w:rsidRPr="00E416EB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表演，現場還有安排10組街頭藝人攤位，供民眾體驗各項工藝、視覺藝術活動，另額外邀請專業身障表演藝術</w:t>
      </w:r>
      <w:proofErr w:type="gramStart"/>
      <w:r w:rsidRPr="00E416EB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團隊混障綜藝</w:t>
      </w:r>
      <w:proofErr w:type="gramEnd"/>
      <w:r w:rsidRPr="00E416EB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團一起為您帶來精采的街頭藝人饗</w:t>
      </w:r>
      <w:r w:rsidR="00A36F91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宴；</w:t>
      </w:r>
      <w:r w:rsidR="006D3068" w:rsidRPr="008C03D4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8/2(星期日)下午4點半將由紙風車劇團經典角色</w:t>
      </w:r>
      <w:r w:rsidR="00A36F91" w:rsidRPr="00A36F91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《</w:t>
      </w:r>
      <w:r w:rsidR="006D3068" w:rsidRPr="008C03D4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巫頂串場</w:t>
      </w:r>
      <w:r w:rsidR="00A36F91" w:rsidRPr="00A36F91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》</w:t>
      </w:r>
      <w:r w:rsidR="006D3068" w:rsidRPr="008C03D4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，演出共結合四大片段：〈牛蛙愛唱歌〉 、〈楊桃樹的故事〉、〈小芬小蓮海底歷險記〉、〈海底世界運動會〉，本節目初次在桃園演出，集合各種寓教於樂的故事，將帶給大</w:t>
      </w:r>
    </w:p>
    <w:p w:rsidR="00A36F91" w:rsidRPr="00A36F91" w:rsidRDefault="00A36F91" w:rsidP="00A36F91">
      <w:pPr>
        <w:snapToGrid w:val="0"/>
        <w:spacing w:line="140" w:lineRule="atLeast"/>
        <w:contextualSpacing/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</w:pPr>
      <w:proofErr w:type="gramStart"/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家親子</w:t>
      </w:r>
      <w:proofErr w:type="gramEnd"/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同樂的難忘演出；</w:t>
      </w:r>
      <w:r w:rsidRPr="00A36F91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8/15(星期六)晚上6點將由一心戲劇團帶來改編自傳統神話的《西遊記-盤絲洞》本劇故事結構清晰內容明顯易懂，全省</w:t>
      </w:r>
      <w:proofErr w:type="gramStart"/>
      <w:r w:rsidRPr="00A36F91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巡演深獲</w:t>
      </w:r>
      <w:proofErr w:type="gramEnd"/>
      <w:r w:rsidRPr="00A36F91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好評，老少咸宜適合全家一同</w:t>
      </w:r>
    </w:p>
    <w:p w:rsidR="00A36F91" w:rsidRDefault="00A36F91" w:rsidP="00A36F91">
      <w:pPr>
        <w:snapToGrid w:val="0"/>
        <w:spacing w:line="140" w:lineRule="atLeast"/>
        <w:contextualSpacing/>
        <w:rPr>
          <w:rFonts w:ascii="標楷體" w:eastAsia="標楷體" w:hAnsi="標楷體" w:cs="標楷體"/>
          <w:color w:val="000000"/>
          <w:spacing w:val="12"/>
          <w:kern w:val="0"/>
          <w:sz w:val="28"/>
          <w:szCs w:val="28"/>
          <w:shd w:val="clear" w:color="auto" w:fill="FFFFFF"/>
        </w:rPr>
      </w:pPr>
      <w:r w:rsidRPr="00A36F91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欣賞，將由團長孫榮輝與特邀影視明星高玉珊及陳子強，喜歡傳統戲劇的觀眾</w:t>
      </w: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絕不可錯過；</w:t>
      </w:r>
      <w:r w:rsidRPr="00A36F91"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8/23(星期日)下午4點半將由紙風車劇團演出《武松打虎》，由中國古典文學經典故事改編的「武松打虎」萃取出適合小朋友接受和認識的人物及情境，改編為兒童歌舞劇，運用兒童戲劇的技巧和表現方式，傳達現代社會中漸被人遺忘的「善」、「捨己救人」及「仗義相助」等精神。對於傳統越來越陌生的小朋</w:t>
      </w: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友，能在歡笑與創意中親近傳統戲劇之美。</w:t>
      </w:r>
    </w:p>
    <w:p w:rsidR="00A36F91" w:rsidRPr="00A36F91" w:rsidRDefault="00A36F91" w:rsidP="00A36F91">
      <w:pPr>
        <w:widowControl/>
        <w:spacing w:afterLines="50" w:after="180"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A9598C">
        <w:rPr>
          <w:rFonts w:ascii="標楷體" w:eastAsia="標楷體" w:hAnsi="標楷體" w:cs="新細明體" w:hint="eastAsia"/>
          <w:kern w:val="0"/>
          <w:sz w:val="28"/>
          <w:szCs w:val="28"/>
        </w:rPr>
        <w:t>2020桃園蓮花季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邀請</w:t>
      </w:r>
      <w:r w:rsidRPr="00A9598C">
        <w:rPr>
          <w:rFonts w:ascii="標楷體" w:eastAsia="標楷體" w:hAnsi="標楷體" w:cs="新細明體" w:hint="eastAsia"/>
          <w:kern w:val="0"/>
          <w:sz w:val="28"/>
          <w:szCs w:val="28"/>
        </w:rPr>
        <w:t>大家一起共襄盛舉，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將暑假留在桃園，</w:t>
      </w:r>
      <w:r w:rsidRPr="00A9598C">
        <w:rPr>
          <w:rFonts w:ascii="標楷體" w:eastAsia="標楷體" w:hAnsi="標楷體" w:cs="新細明體" w:hint="eastAsia"/>
          <w:kern w:val="0"/>
          <w:sz w:val="28"/>
          <w:szCs w:val="28"/>
        </w:rPr>
        <w:t>一同走訪桃園國際蓮花園！</w:t>
      </w:r>
      <w:r w:rsidRPr="00B06C80">
        <w:rPr>
          <w:rFonts w:ascii="標楷體" w:eastAsia="標楷體" w:hAnsi="標楷體" w:cs="新細明體"/>
          <w:kern w:val="0"/>
          <w:sz w:val="28"/>
          <w:szCs w:val="28"/>
        </w:rPr>
        <w:t>活動詳細資訊請至桃園市政府</w:t>
      </w:r>
      <w:proofErr w:type="gramStart"/>
      <w:r w:rsidRPr="00B06C80">
        <w:rPr>
          <w:rFonts w:ascii="標楷體" w:eastAsia="標楷體" w:hAnsi="標楷體" w:cs="新細明體"/>
          <w:kern w:val="0"/>
          <w:sz w:val="28"/>
          <w:szCs w:val="28"/>
        </w:rPr>
        <w:t>文化局官網</w:t>
      </w:r>
      <w:proofErr w:type="gramEnd"/>
      <w:r w:rsidRPr="00B06C80">
        <w:rPr>
          <w:rFonts w:ascii="標楷體" w:eastAsia="標楷體" w:hAnsi="標楷體" w:cs="新細明體"/>
          <w:kern w:val="0"/>
          <w:sz w:val="28"/>
          <w:szCs w:val="28"/>
        </w:rPr>
        <w:t>(</w:t>
      </w:r>
      <w:hyperlink r:id="rId4" w:history="1">
        <w:r w:rsidRPr="00132C5F">
          <w:rPr>
            <w:rStyle w:val="a5"/>
            <w:rFonts w:ascii="標楷體" w:eastAsia="標楷體" w:hAnsi="標楷體" w:cs="新細明體"/>
            <w:kern w:val="0"/>
            <w:sz w:val="28"/>
            <w:szCs w:val="28"/>
          </w:rPr>
          <w:t>http://culture.tycg.gov.tw/</w:t>
        </w:r>
      </w:hyperlink>
      <w:r w:rsidRPr="00B06C80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0667BD">
        <w:rPr>
          <w:rFonts w:ascii="標楷體" w:eastAsia="標楷體" w:hAnsi="標楷體" w:cs="新細明體" w:hint="eastAsia"/>
          <w:kern w:val="0"/>
          <w:sz w:val="28"/>
          <w:szCs w:val="28"/>
        </w:rPr>
        <w:t>閩南文化節</w:t>
      </w:r>
      <w:proofErr w:type="gramStart"/>
      <w:r w:rsidRPr="00B06C80">
        <w:rPr>
          <w:rFonts w:ascii="標楷體" w:eastAsia="標楷體" w:hAnsi="標楷體" w:cs="新細明體" w:hint="eastAsia"/>
          <w:kern w:val="0"/>
          <w:sz w:val="28"/>
          <w:szCs w:val="28"/>
        </w:rPr>
        <w:t>官方臉書粉絲</w:t>
      </w:r>
      <w:proofErr w:type="gramEnd"/>
      <w:r w:rsidRPr="00B06C80">
        <w:rPr>
          <w:rFonts w:ascii="標楷體" w:eastAsia="標楷體" w:hAnsi="標楷體" w:cs="新細明體" w:hint="eastAsia"/>
          <w:kern w:val="0"/>
          <w:sz w:val="28"/>
          <w:szCs w:val="28"/>
        </w:rPr>
        <w:t>專頁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0667BD">
        <w:rPr>
          <w:rFonts w:ascii="標楷體" w:eastAsia="標楷體" w:hAnsi="標楷體" w:cs="新細明體" w:hint="eastAsia"/>
          <w:kern w:val="0"/>
          <w:sz w:val="28"/>
          <w:szCs w:val="28"/>
        </w:rPr>
        <w:t>觀音區蓮花園休閒農業區</w:t>
      </w:r>
      <w:proofErr w:type="gramStart"/>
      <w:r w:rsidRPr="00B06C80">
        <w:rPr>
          <w:rFonts w:ascii="標楷體" w:eastAsia="標楷體" w:hAnsi="標楷體" w:cs="新細明體" w:hint="eastAsia"/>
          <w:kern w:val="0"/>
          <w:sz w:val="28"/>
          <w:szCs w:val="28"/>
        </w:rPr>
        <w:t>官方臉書粉絲</w:t>
      </w:r>
      <w:proofErr w:type="gramEnd"/>
      <w:r w:rsidRPr="00B06C80">
        <w:rPr>
          <w:rFonts w:ascii="標楷體" w:eastAsia="標楷體" w:hAnsi="標楷體" w:cs="新細明體" w:hint="eastAsia"/>
          <w:kern w:val="0"/>
          <w:sz w:val="28"/>
          <w:szCs w:val="28"/>
        </w:rPr>
        <w:t>專頁。</w:t>
      </w:r>
    </w:p>
    <w:p w:rsidR="00C062BD" w:rsidRDefault="00C062BD" w:rsidP="00A36F91">
      <w:pPr>
        <w:snapToGrid w:val="0"/>
        <w:spacing w:line="140" w:lineRule="atLeast"/>
        <w:contextualSpacing/>
        <w:rPr>
          <w:rFonts w:ascii="標楷體" w:eastAsia="標楷體" w:hAnsi="標楷體" w:cs="標楷體"/>
          <w:color w:val="000000"/>
          <w:spacing w:val="12"/>
          <w:kern w:val="0"/>
          <w:sz w:val="28"/>
          <w:szCs w:val="28"/>
          <w:shd w:val="clear" w:color="auto" w:fill="FFFFFF"/>
        </w:rPr>
      </w:pPr>
    </w:p>
    <w:p w:rsidR="00A36F91" w:rsidRDefault="00A36F91" w:rsidP="00A36F91">
      <w:pPr>
        <w:snapToGrid w:val="0"/>
        <w:spacing w:line="140" w:lineRule="atLeast"/>
        <w:contextualSpacing/>
        <w:rPr>
          <w:rFonts w:ascii="標楷體" w:eastAsia="標楷體" w:hAnsi="標楷體" w:cs="標楷體"/>
          <w:color w:val="000000"/>
          <w:spacing w:val="1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  <w:t>新聞稿附件：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3056"/>
      </w:tblGrid>
      <w:tr w:rsidR="00A36F91" w:rsidTr="00B71F66">
        <w:tc>
          <w:tcPr>
            <w:tcW w:w="8296" w:type="dxa"/>
            <w:gridSpan w:val="4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新細明體" w:hint="eastAsia"/>
                <w:kern w:val="0"/>
                <w:sz w:val="22"/>
              </w:rPr>
              <w:t>2020桃園蓮花季</w:t>
            </w:r>
            <w:r w:rsidRPr="00507B0D">
              <w:rPr>
                <w:rFonts w:ascii="標楷體" w:eastAsia="標楷體" w:hAnsi="標楷體" w:cs="新細明體" w:hint="eastAsia"/>
                <w:kern w:val="0"/>
                <w:sz w:val="22"/>
              </w:rPr>
              <w:t>藝術巡演節目</w:t>
            </w:r>
            <w:r w:rsidR="00507B0D">
              <w:rPr>
                <w:rFonts w:ascii="標楷體" w:eastAsia="標楷體" w:hAnsi="標楷體" w:cs="新細明體" w:hint="eastAsia"/>
                <w:kern w:val="0"/>
                <w:sz w:val="22"/>
              </w:rPr>
              <w:t>表</w:t>
            </w:r>
          </w:p>
        </w:tc>
      </w:tr>
      <w:tr w:rsidR="00A36F91" w:rsidTr="00A36F91">
        <w:tc>
          <w:tcPr>
            <w:tcW w:w="1413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日期</w:t>
            </w:r>
          </w:p>
        </w:tc>
        <w:tc>
          <w:tcPr>
            <w:tcW w:w="1843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時間</w:t>
            </w:r>
          </w:p>
        </w:tc>
        <w:tc>
          <w:tcPr>
            <w:tcW w:w="1984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演出節目</w:t>
            </w:r>
          </w:p>
        </w:tc>
        <w:tc>
          <w:tcPr>
            <w:tcW w:w="3056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簡介</w:t>
            </w:r>
          </w:p>
        </w:tc>
      </w:tr>
      <w:tr w:rsidR="00A36F91" w:rsidTr="00A36F91">
        <w:tc>
          <w:tcPr>
            <w:tcW w:w="1413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8月1日(六)</w:t>
            </w:r>
          </w:p>
        </w:tc>
        <w:tc>
          <w:tcPr>
            <w:tcW w:w="1843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9:00-17:00</w:t>
            </w:r>
          </w:p>
        </w:tc>
        <w:tc>
          <w:tcPr>
            <w:tcW w:w="1984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《街頭藝人嘉年華》</w:t>
            </w:r>
          </w:p>
        </w:tc>
        <w:tc>
          <w:tcPr>
            <w:tcW w:w="3056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8組優秀的街頭藝人表演者，帶來包括烏克麗麗、立方體、吉他等表演，現場還有安排10組街頭藝人攤位，供民眾體驗各項工藝、視覺藝術活動，另額外邀請專業身障表演藝術</w:t>
            </w:r>
            <w:proofErr w:type="gramStart"/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團隊混障綜藝</w:t>
            </w:r>
            <w:proofErr w:type="gramEnd"/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團一起為您帶來精采的街頭藝人饗宴</w:t>
            </w:r>
          </w:p>
        </w:tc>
      </w:tr>
      <w:tr w:rsidR="00A36F91" w:rsidTr="00A36F91">
        <w:tc>
          <w:tcPr>
            <w:tcW w:w="1413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8月2日(日)</w:t>
            </w:r>
          </w:p>
        </w:tc>
        <w:tc>
          <w:tcPr>
            <w:tcW w:w="1843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16:30-</w:t>
            </w:r>
          </w:p>
        </w:tc>
        <w:tc>
          <w:tcPr>
            <w:tcW w:w="1984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《巫頂串場》</w:t>
            </w:r>
          </w:p>
        </w:tc>
        <w:tc>
          <w:tcPr>
            <w:tcW w:w="3056" w:type="dxa"/>
          </w:tcPr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紙風車劇團經典角色《巫頂串場》，演出共結合四大片段：〈牛蛙愛唱歌〉 、〈楊桃樹的故事〉、〈小芬小蓮海底歷險記〉、〈海底世界運動會〉，本節目初次在桃園演出，集合各種寓教於樂的故事，將帶給大</w:t>
            </w:r>
          </w:p>
          <w:p w:rsidR="00A36F91" w:rsidRPr="00507B0D" w:rsidRDefault="00A36F91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proofErr w:type="gramStart"/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家親子</w:t>
            </w:r>
            <w:proofErr w:type="gramEnd"/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同樂的難忘演出</w:t>
            </w:r>
          </w:p>
        </w:tc>
      </w:tr>
      <w:tr w:rsidR="00A36F91" w:rsidTr="00A36F91">
        <w:tc>
          <w:tcPr>
            <w:tcW w:w="1413" w:type="dxa"/>
          </w:tcPr>
          <w:p w:rsidR="00A36F91" w:rsidRPr="00507B0D" w:rsidRDefault="00507B0D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8月15日(六)</w:t>
            </w:r>
          </w:p>
        </w:tc>
        <w:tc>
          <w:tcPr>
            <w:tcW w:w="1843" w:type="dxa"/>
          </w:tcPr>
          <w:p w:rsidR="00A36F91" w:rsidRPr="00507B0D" w:rsidRDefault="00507B0D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18:00-</w:t>
            </w:r>
          </w:p>
        </w:tc>
        <w:tc>
          <w:tcPr>
            <w:tcW w:w="1984" w:type="dxa"/>
          </w:tcPr>
          <w:p w:rsidR="00A36F91" w:rsidRPr="00507B0D" w:rsidRDefault="00507B0D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《西遊記-盤絲洞》</w:t>
            </w:r>
          </w:p>
        </w:tc>
        <w:tc>
          <w:tcPr>
            <w:tcW w:w="3056" w:type="dxa"/>
          </w:tcPr>
          <w:p w:rsidR="00507B0D" w:rsidRPr="00507B0D" w:rsidRDefault="00507B0D" w:rsidP="00507B0D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本劇故事結構清晰內容明顯易懂，全省</w:t>
            </w:r>
            <w:proofErr w:type="gramStart"/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巡演深獲</w:t>
            </w:r>
            <w:proofErr w:type="gramEnd"/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好評，老少咸宜適合全家一同</w:t>
            </w:r>
          </w:p>
          <w:p w:rsidR="00A36F91" w:rsidRPr="00507B0D" w:rsidRDefault="00507B0D" w:rsidP="00507B0D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欣賞，將由團長孫榮輝與特邀影視明星高玉珊及陳子強，喜歡傳統戲劇的觀眾絕不可錯過</w:t>
            </w:r>
          </w:p>
        </w:tc>
      </w:tr>
      <w:tr w:rsidR="00507B0D" w:rsidTr="00A36F91">
        <w:tc>
          <w:tcPr>
            <w:tcW w:w="1413" w:type="dxa"/>
          </w:tcPr>
          <w:p w:rsidR="00507B0D" w:rsidRPr="00507B0D" w:rsidRDefault="00507B0D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8月</w:t>
            </w: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23</w:t>
            </w: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日</w:t>
            </w: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(日)</w:t>
            </w:r>
          </w:p>
        </w:tc>
        <w:tc>
          <w:tcPr>
            <w:tcW w:w="1843" w:type="dxa"/>
          </w:tcPr>
          <w:p w:rsidR="00507B0D" w:rsidRPr="00507B0D" w:rsidRDefault="00507B0D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16:30-</w:t>
            </w:r>
          </w:p>
        </w:tc>
        <w:tc>
          <w:tcPr>
            <w:tcW w:w="1984" w:type="dxa"/>
          </w:tcPr>
          <w:p w:rsidR="00507B0D" w:rsidRPr="00507B0D" w:rsidRDefault="00507B0D" w:rsidP="00A36F91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《武松打虎》</w:t>
            </w:r>
          </w:p>
        </w:tc>
        <w:tc>
          <w:tcPr>
            <w:tcW w:w="3056" w:type="dxa"/>
          </w:tcPr>
          <w:p w:rsidR="00507B0D" w:rsidRPr="00507B0D" w:rsidRDefault="00507B0D" w:rsidP="00507B0D">
            <w:pPr>
              <w:snapToGrid w:val="0"/>
              <w:spacing w:line="140" w:lineRule="atLeast"/>
              <w:contextualSpacing/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</w:pPr>
            <w:r w:rsidRPr="00507B0D">
              <w:rPr>
                <w:rFonts w:ascii="標楷體" w:eastAsia="標楷體" w:hAnsi="標楷體" w:cs="標楷體" w:hint="eastAsia"/>
                <w:color w:val="000000"/>
                <w:spacing w:val="12"/>
                <w:kern w:val="0"/>
                <w:sz w:val="22"/>
                <w:shd w:val="clear" w:color="auto" w:fill="FFFFFF"/>
              </w:rPr>
              <w:t>中國古典文學經典故事改編的「武松打虎」萃取出適合小朋友接受和認識的人物及情境，改編為兒童歌舞劇，運用兒童戲劇的技巧和表現方式，傳達現代社會中漸被人遺忘的「善」、「捨己救人」及「仗義相助」等精神。對於傳統越來越陌生的小朋友，能在歡笑與創意中親近傳統戲劇之美。</w:t>
            </w:r>
          </w:p>
        </w:tc>
      </w:tr>
    </w:tbl>
    <w:p w:rsidR="00A36F91" w:rsidRPr="00A36F91" w:rsidRDefault="00A36F91" w:rsidP="00A36F91">
      <w:pPr>
        <w:snapToGrid w:val="0"/>
        <w:spacing w:line="140" w:lineRule="atLeast"/>
        <w:contextualSpacing/>
        <w:rPr>
          <w:rFonts w:ascii="標楷體" w:eastAsia="標楷體" w:hAnsi="標楷體" w:cs="標楷體" w:hint="eastAsia"/>
          <w:color w:val="000000"/>
          <w:spacing w:val="12"/>
          <w:kern w:val="0"/>
          <w:sz w:val="28"/>
          <w:szCs w:val="28"/>
          <w:shd w:val="clear" w:color="auto" w:fill="FFFFFF"/>
        </w:rPr>
      </w:pPr>
    </w:p>
    <w:sectPr w:rsidR="00A36F91" w:rsidRPr="00A36F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BD"/>
    <w:rsid w:val="004D0C30"/>
    <w:rsid w:val="00507B0D"/>
    <w:rsid w:val="00654A1E"/>
    <w:rsid w:val="006D3068"/>
    <w:rsid w:val="008C03D4"/>
    <w:rsid w:val="00A36F91"/>
    <w:rsid w:val="00C062BD"/>
    <w:rsid w:val="00E4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1B6F"/>
  <w15:chartTrackingRefBased/>
  <w15:docId w15:val="{3E341665-9826-4B08-9A56-817C5E6D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062B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4">
    <w:name w:val="純文字 字元"/>
    <w:basedOn w:val="a0"/>
    <w:link w:val="a3"/>
    <w:rsid w:val="00C062BD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character" w:styleId="a5">
    <w:name w:val="Hyperlink"/>
    <w:rsid w:val="00A36F91"/>
    <w:rPr>
      <w:color w:val="0000FF"/>
      <w:u w:val="single"/>
    </w:rPr>
  </w:style>
  <w:style w:type="table" w:styleId="a6">
    <w:name w:val="Table Grid"/>
    <w:basedOn w:val="a1"/>
    <w:uiPriority w:val="39"/>
    <w:rsid w:val="00A3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ulture.ty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文化發展科李聿昕10014429</dc:creator>
  <cp:keywords/>
  <dc:description/>
  <cp:lastModifiedBy>文化發展科李聿昕10014429</cp:lastModifiedBy>
  <cp:revision>1</cp:revision>
  <dcterms:created xsi:type="dcterms:W3CDTF">2020-07-27T01:41:00Z</dcterms:created>
  <dcterms:modified xsi:type="dcterms:W3CDTF">2020-07-27T03:22:00Z</dcterms:modified>
</cp:coreProperties>
</file>